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9A3F4" w14:textId="4E2428C9" w:rsidR="00BB6C5F" w:rsidRPr="008B020C" w:rsidRDefault="00BB6C5F" w:rsidP="00BB6C5F">
      <w:pPr>
        <w:tabs>
          <w:tab w:val="center" w:pos="4536"/>
          <w:tab w:val="right" w:pos="9356"/>
          <w:tab w:val="right" w:pos="9639"/>
        </w:tabs>
        <w:spacing w:after="0"/>
        <w:rPr>
          <w:rFonts w:ascii="Arial" w:hAnsi="Arial" w:cs="Arial"/>
          <w:b/>
          <w:bCs/>
          <w:sz w:val="24"/>
          <w:lang w:val="en-US"/>
        </w:rPr>
      </w:pPr>
      <w:r w:rsidRPr="008B020C">
        <w:rPr>
          <w:rFonts w:ascii="Arial" w:eastAsia="Arial" w:hAnsi="Arial" w:cs="Arial"/>
          <w:b/>
          <w:bCs/>
          <w:sz w:val="24"/>
          <w:szCs w:val="24"/>
          <w:lang w:val="en-US"/>
        </w:rPr>
        <w:t>3GPP TSG RAN WG1 Meeting #</w:t>
      </w:r>
      <w:r>
        <w:rPr>
          <w:rFonts w:ascii="Arial" w:eastAsia="Arial" w:hAnsi="Arial" w:cs="Arial"/>
          <w:b/>
          <w:bCs/>
          <w:sz w:val="24"/>
          <w:szCs w:val="24"/>
          <w:lang w:val="en-US"/>
        </w:rPr>
        <w:t>10</w:t>
      </w:r>
      <w:r w:rsidR="007445A2">
        <w:rPr>
          <w:rFonts w:ascii="Arial" w:eastAsia="Arial" w:hAnsi="Arial" w:cs="Arial"/>
          <w:b/>
          <w:bCs/>
          <w:sz w:val="24"/>
          <w:szCs w:val="24"/>
          <w:lang w:val="en-US"/>
        </w:rPr>
        <w:t>1</w:t>
      </w:r>
      <w:r w:rsidRPr="008B020C">
        <w:rPr>
          <w:rFonts w:ascii="Arial" w:eastAsia="Arial" w:hAnsi="Arial" w:cs="Arial"/>
          <w:b/>
          <w:bCs/>
          <w:sz w:val="24"/>
          <w:szCs w:val="24"/>
          <w:lang w:val="en-US"/>
        </w:rPr>
        <w:t xml:space="preserve">               </w:t>
      </w:r>
      <w:r w:rsidRPr="008B020C">
        <w:rPr>
          <w:rFonts w:ascii="Arial" w:hAnsi="Arial" w:cs="Arial"/>
          <w:b/>
          <w:bCs/>
          <w:sz w:val="24"/>
          <w:lang w:val="en-US"/>
        </w:rPr>
        <w:tab/>
      </w:r>
      <w:r w:rsidR="00317A3F" w:rsidRPr="00317A3F">
        <w:rPr>
          <w:rFonts w:ascii="Arial" w:hAnsi="Arial" w:cs="Arial"/>
          <w:b/>
          <w:bCs/>
          <w:sz w:val="24"/>
          <w:lang w:val="en-US"/>
        </w:rPr>
        <w:t>R1-</w:t>
      </w:r>
      <w:r w:rsidR="002B6605" w:rsidRPr="00317A3F">
        <w:rPr>
          <w:rFonts w:ascii="Arial" w:hAnsi="Arial" w:cs="Arial"/>
          <w:b/>
          <w:bCs/>
          <w:sz w:val="24"/>
          <w:lang w:val="en-US"/>
        </w:rPr>
        <w:t>200</w:t>
      </w:r>
      <w:r w:rsidR="002B6605">
        <w:rPr>
          <w:rFonts w:ascii="Arial" w:hAnsi="Arial" w:cs="Arial"/>
          <w:b/>
          <w:bCs/>
          <w:sz w:val="24"/>
          <w:lang w:val="en-US"/>
        </w:rPr>
        <w:t>4256</w:t>
      </w:r>
    </w:p>
    <w:p w14:paraId="0B43ABE6" w14:textId="4F2F9BDB" w:rsidR="00BB6C5F" w:rsidRPr="000A44DE" w:rsidRDefault="00FF678C" w:rsidP="00BB6C5F">
      <w:pPr>
        <w:pStyle w:val="Header"/>
        <w:rPr>
          <w:bCs/>
          <w:noProof w:val="0"/>
          <w:sz w:val="24"/>
          <w:lang w:eastAsia="ja-JP"/>
        </w:rPr>
      </w:pPr>
      <w:r>
        <w:rPr>
          <w:rFonts w:cs="Arial"/>
          <w:bCs/>
          <w:sz w:val="24"/>
        </w:rPr>
        <w:t>e-Meeting</w:t>
      </w:r>
      <w:r w:rsidR="00BB6C5F">
        <w:rPr>
          <w:rFonts w:cs="Arial"/>
          <w:bCs/>
          <w:sz w:val="24"/>
        </w:rPr>
        <w:t xml:space="preserve">, </w:t>
      </w:r>
      <w:r w:rsidR="00D52B2B">
        <w:rPr>
          <w:rFonts w:cs="Arial"/>
          <w:bCs/>
          <w:sz w:val="24"/>
        </w:rPr>
        <w:t>May</w:t>
      </w:r>
      <w:r w:rsidR="00BB6C5F">
        <w:rPr>
          <w:rFonts w:cs="Arial"/>
          <w:bCs/>
          <w:sz w:val="24"/>
        </w:rPr>
        <w:t xml:space="preserve"> </w:t>
      </w:r>
      <w:r w:rsidR="00B3162D">
        <w:rPr>
          <w:rFonts w:cs="Arial"/>
          <w:bCs/>
          <w:sz w:val="24"/>
        </w:rPr>
        <w:t>2</w:t>
      </w:r>
      <w:r w:rsidR="00D52B2B">
        <w:rPr>
          <w:rFonts w:cs="Arial"/>
          <w:bCs/>
          <w:sz w:val="24"/>
        </w:rPr>
        <w:t>5</w:t>
      </w:r>
      <w:r w:rsidR="00BB6C5F" w:rsidRPr="00F12A9A">
        <w:rPr>
          <w:rFonts w:cs="Arial"/>
          <w:bCs/>
          <w:sz w:val="24"/>
          <w:vertAlign w:val="superscript"/>
        </w:rPr>
        <w:t>th</w:t>
      </w:r>
      <w:r w:rsidR="00BB6C5F">
        <w:rPr>
          <w:rFonts w:cs="Arial"/>
          <w:bCs/>
          <w:sz w:val="24"/>
        </w:rPr>
        <w:t xml:space="preserve"> </w:t>
      </w:r>
      <w:r w:rsidR="00BB6C5F" w:rsidRPr="00FF5973">
        <w:rPr>
          <w:rFonts w:cs="Arial"/>
          <w:bCs/>
          <w:sz w:val="24"/>
        </w:rPr>
        <w:t>–</w:t>
      </w:r>
      <w:r w:rsidR="00D52B2B">
        <w:rPr>
          <w:rFonts w:cs="Arial"/>
          <w:bCs/>
          <w:sz w:val="24"/>
        </w:rPr>
        <w:t xml:space="preserve"> June</w:t>
      </w:r>
      <w:r w:rsidR="00BB6C5F" w:rsidRPr="00FF5973">
        <w:rPr>
          <w:rFonts w:cs="Arial"/>
          <w:bCs/>
          <w:sz w:val="24"/>
        </w:rPr>
        <w:t xml:space="preserve"> </w:t>
      </w:r>
      <w:r w:rsidR="00D52B2B">
        <w:rPr>
          <w:rFonts w:cs="Arial"/>
          <w:bCs/>
          <w:sz w:val="24"/>
        </w:rPr>
        <w:t>5</w:t>
      </w:r>
      <w:r w:rsidR="00BB6C5F">
        <w:rPr>
          <w:rFonts w:cs="Arial"/>
          <w:bCs/>
          <w:sz w:val="24"/>
          <w:vertAlign w:val="superscript"/>
        </w:rPr>
        <w:t>th</w:t>
      </w:r>
      <w:r w:rsidR="00BB6C5F">
        <w:rPr>
          <w:rFonts w:cs="Arial"/>
          <w:bCs/>
          <w:sz w:val="24"/>
        </w:rPr>
        <w:t xml:space="preserve"> </w:t>
      </w:r>
      <w:r w:rsidR="00BB6C5F" w:rsidRPr="00FF5973">
        <w:rPr>
          <w:rFonts w:cs="Arial"/>
          <w:bCs/>
          <w:sz w:val="24"/>
        </w:rPr>
        <w:t>, 20</w:t>
      </w:r>
      <w:r w:rsidR="00BB6C5F">
        <w:rPr>
          <w:rFonts w:cs="Arial"/>
          <w:bCs/>
          <w:sz w:val="24"/>
        </w:rPr>
        <w:t>20</w:t>
      </w:r>
    </w:p>
    <w:p w14:paraId="3E264B61" w14:textId="77777777" w:rsidR="00BB6C5F" w:rsidRPr="000A44DE" w:rsidRDefault="00BB6C5F" w:rsidP="00BB6C5F">
      <w:pPr>
        <w:pStyle w:val="Header"/>
        <w:rPr>
          <w:bCs/>
          <w:noProof w:val="0"/>
          <w:sz w:val="24"/>
          <w:lang w:eastAsia="ja-JP"/>
        </w:rPr>
      </w:pPr>
    </w:p>
    <w:p w14:paraId="5E26A440" w14:textId="7B81DC4B" w:rsidR="00BB6C5F" w:rsidRPr="00ED270C" w:rsidRDefault="00BB6C5F" w:rsidP="00BB6C5F">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5B36C5">
        <w:rPr>
          <w:b/>
          <w:bCs/>
          <w:sz w:val="24"/>
          <w:szCs w:val="24"/>
        </w:rPr>
        <w:t>7</w:t>
      </w:r>
      <w:r w:rsidRPr="005B36C5">
        <w:rPr>
          <w:rFonts w:ascii="Arial,SimSun" w:eastAsia="Arial,SimSun" w:hAnsi="Arial,SimSun" w:cs="Arial,SimSun"/>
          <w:b/>
          <w:bCs/>
          <w:sz w:val="24"/>
          <w:szCs w:val="24"/>
        </w:rPr>
        <w:t>.</w:t>
      </w:r>
      <w:r w:rsidRPr="005B36C5">
        <w:rPr>
          <w:b/>
          <w:bCs/>
          <w:sz w:val="24"/>
          <w:szCs w:val="24"/>
        </w:rPr>
        <w:t>2.2</w:t>
      </w:r>
      <w:r w:rsidRPr="005B36C5">
        <w:rPr>
          <w:rFonts w:ascii="Arial,SimSun" w:eastAsia="Arial,SimSun" w:hAnsi="Arial,SimSun" w:cs="Arial,SimSun"/>
          <w:b/>
          <w:bCs/>
          <w:sz w:val="24"/>
          <w:szCs w:val="24"/>
        </w:rPr>
        <w:t>.</w:t>
      </w:r>
      <w:r w:rsidR="003739E0">
        <w:rPr>
          <w:b/>
          <w:bCs/>
          <w:sz w:val="24"/>
          <w:szCs w:val="24"/>
        </w:rPr>
        <w:t>2</w:t>
      </w:r>
      <w:r w:rsidRPr="005B36C5">
        <w:rPr>
          <w:b/>
          <w:bCs/>
          <w:sz w:val="24"/>
          <w:szCs w:val="24"/>
        </w:rPr>
        <w:t>.</w:t>
      </w:r>
      <w:r w:rsidR="003739E0">
        <w:rPr>
          <w:b/>
          <w:bCs/>
          <w:sz w:val="24"/>
          <w:szCs w:val="24"/>
        </w:rPr>
        <w:t>5</w:t>
      </w:r>
    </w:p>
    <w:p w14:paraId="0B780731" w14:textId="77777777" w:rsidR="00BB6C5F" w:rsidRPr="008B020C" w:rsidRDefault="00BB6C5F" w:rsidP="00BB6C5F">
      <w:pPr>
        <w:tabs>
          <w:tab w:val="left" w:pos="1985"/>
        </w:tabs>
        <w:spacing w:after="120"/>
        <w:ind w:left="1985" w:hanging="1985"/>
        <w:rPr>
          <w:rFonts w:ascii="Arial" w:eastAsia="Arial" w:hAnsi="Arial" w:cs="Arial"/>
          <w:b/>
          <w:bCs/>
          <w:sz w:val="24"/>
          <w:szCs w:val="24"/>
          <w:lang w:val="en-US"/>
        </w:rPr>
      </w:pPr>
      <w:r w:rsidRPr="008B020C">
        <w:rPr>
          <w:rFonts w:ascii="Arial" w:eastAsia="Arial" w:hAnsi="Arial" w:cs="Arial"/>
          <w:b/>
          <w:bCs/>
          <w:sz w:val="24"/>
          <w:szCs w:val="24"/>
          <w:lang w:val="en-US"/>
        </w:rPr>
        <w:t>Source:</w:t>
      </w:r>
      <w:r w:rsidRPr="008B020C">
        <w:rPr>
          <w:rFonts w:ascii="Arial" w:hAnsi="Arial" w:cs="Arial"/>
          <w:b/>
          <w:bCs/>
          <w:sz w:val="24"/>
          <w:lang w:val="en-US"/>
        </w:rPr>
        <w:tab/>
      </w:r>
      <w:r w:rsidRPr="008B020C">
        <w:rPr>
          <w:rFonts w:ascii="Arial" w:eastAsia="Arial" w:hAnsi="Arial" w:cs="Arial"/>
          <w:b/>
          <w:bCs/>
          <w:sz w:val="24"/>
          <w:szCs w:val="24"/>
          <w:lang w:val="en-US"/>
        </w:rPr>
        <w:t>Nokia, Nokia Shanghai Bell</w:t>
      </w:r>
    </w:p>
    <w:p w14:paraId="16B89169" w14:textId="29D2D875" w:rsidR="00BB6C5F" w:rsidRPr="008B020C" w:rsidRDefault="00BB6C5F" w:rsidP="00BB6C5F">
      <w:pPr>
        <w:ind w:left="1985" w:hanging="1985"/>
        <w:rPr>
          <w:rFonts w:ascii="Arial" w:eastAsia="Arial" w:hAnsi="Arial" w:cs="Arial"/>
          <w:b/>
          <w:bCs/>
          <w:sz w:val="24"/>
          <w:szCs w:val="24"/>
          <w:lang w:val="en-US"/>
        </w:rPr>
      </w:pPr>
      <w:r w:rsidRPr="008B020C">
        <w:rPr>
          <w:rFonts w:ascii="Arial" w:eastAsia="Arial" w:hAnsi="Arial" w:cs="Arial"/>
          <w:b/>
          <w:bCs/>
          <w:sz w:val="24"/>
          <w:szCs w:val="24"/>
          <w:lang w:val="en-US"/>
        </w:rPr>
        <w:t>Title:</w:t>
      </w:r>
      <w:r w:rsidRPr="008B020C">
        <w:rPr>
          <w:rFonts w:ascii="Arial" w:hAnsi="Arial" w:cs="Arial"/>
          <w:b/>
          <w:bCs/>
          <w:sz w:val="24"/>
          <w:lang w:val="en-US"/>
        </w:rPr>
        <w:tab/>
      </w:r>
      <w:r w:rsidR="00317A3F">
        <w:rPr>
          <w:rFonts w:ascii="Arial" w:hAnsi="Arial" w:cs="Arial"/>
          <w:b/>
          <w:bCs/>
          <w:sz w:val="24"/>
          <w:lang w:val="en-US"/>
        </w:rPr>
        <w:t>Remaining issues o</w:t>
      </w:r>
      <w:r w:rsidRPr="008B020C">
        <w:rPr>
          <w:rFonts w:ascii="Arial" w:hAnsi="Arial" w:cs="Arial"/>
          <w:b/>
          <w:bCs/>
          <w:sz w:val="24"/>
          <w:lang w:val="en-US"/>
        </w:rPr>
        <w:t xml:space="preserve">n </w:t>
      </w:r>
      <w:r>
        <w:rPr>
          <w:rFonts w:ascii="Arial" w:eastAsia="Arial" w:hAnsi="Arial" w:cs="Arial"/>
          <w:b/>
          <w:bCs/>
          <w:sz w:val="24"/>
          <w:szCs w:val="24"/>
          <w:lang w:val="en-US"/>
        </w:rPr>
        <w:t>WB operation in NR-U</w:t>
      </w:r>
      <w:r w:rsidRPr="008B020C">
        <w:rPr>
          <w:rFonts w:ascii="Arial" w:eastAsia="Arial" w:hAnsi="Arial" w:cs="Arial"/>
          <w:b/>
          <w:bCs/>
          <w:sz w:val="24"/>
          <w:szCs w:val="24"/>
          <w:lang w:val="en-US"/>
        </w:rPr>
        <w:t xml:space="preserve"> </w:t>
      </w:r>
    </w:p>
    <w:p w14:paraId="41AF1BDF" w14:textId="77777777" w:rsidR="00BB6C5F" w:rsidRPr="004C3C27" w:rsidRDefault="00BB6C5F" w:rsidP="00BB6C5F">
      <w:pPr>
        <w:rPr>
          <w:rFonts w:ascii="Arial" w:eastAsia="Arial" w:hAnsi="Arial" w:cs="Arial"/>
          <w:b/>
          <w:bCs/>
          <w:sz w:val="24"/>
          <w:szCs w:val="24"/>
          <w:lang w:val="en-US"/>
        </w:rPr>
      </w:pPr>
      <w:r w:rsidRPr="004C3C27">
        <w:rPr>
          <w:rFonts w:ascii="Arial" w:eastAsia="Arial" w:hAnsi="Arial" w:cs="Arial"/>
          <w:b/>
          <w:bCs/>
          <w:sz w:val="24"/>
          <w:szCs w:val="24"/>
          <w:lang w:val="en-US"/>
        </w:rPr>
        <w:t>Document for:</w:t>
      </w:r>
      <w:r w:rsidRPr="004C3C27">
        <w:rPr>
          <w:rFonts w:ascii="Arial" w:hAnsi="Arial" w:cs="Arial"/>
          <w:b/>
          <w:bCs/>
          <w:sz w:val="24"/>
          <w:lang w:val="en-US"/>
        </w:rPr>
        <w:tab/>
      </w:r>
      <w:r w:rsidRPr="004C3C27">
        <w:rPr>
          <w:rFonts w:ascii="Arial" w:hAnsi="Arial" w:cs="Arial"/>
          <w:b/>
          <w:bCs/>
          <w:sz w:val="24"/>
          <w:lang w:val="en-US"/>
        </w:rPr>
        <w:tab/>
      </w:r>
      <w:r w:rsidRPr="004C3C27">
        <w:rPr>
          <w:rFonts w:ascii="Arial" w:eastAsia="Arial" w:hAnsi="Arial" w:cs="Arial"/>
          <w:b/>
          <w:bCs/>
          <w:sz w:val="24"/>
          <w:szCs w:val="24"/>
          <w:lang w:val="en-US"/>
        </w:rPr>
        <w:t>Discussion and Decision</w:t>
      </w:r>
    </w:p>
    <w:p w14:paraId="75CD12B9" w14:textId="77777777" w:rsidR="00BB6C5F" w:rsidRPr="0027454F" w:rsidRDefault="00BB6C5F" w:rsidP="003B3014">
      <w:pPr>
        <w:pStyle w:val="Heading1"/>
      </w:pPr>
      <w:bookmarkStart w:id="0" w:name="_Hlk23262468"/>
      <w:r w:rsidRPr="0027454F">
        <w:t>Introduction</w:t>
      </w:r>
      <w:bookmarkEnd w:id="0"/>
    </w:p>
    <w:p w14:paraId="575445CE" w14:textId="77777777" w:rsidR="00BB6C5F" w:rsidRPr="008B020C" w:rsidRDefault="00BB6C5F" w:rsidP="00BB6C5F">
      <w:pPr>
        <w:spacing w:after="120"/>
        <w:rPr>
          <w:rFonts w:eastAsia="Times New Roman"/>
          <w:lang w:val="en-US"/>
        </w:rPr>
      </w:pPr>
      <w:r w:rsidRPr="008B020C">
        <w:rPr>
          <w:lang w:val="en-US"/>
        </w:rPr>
        <w:t xml:space="preserve">During RAN plenary #82, the release 16 work item on unlicensed band operation were approved in </w:t>
      </w:r>
      <w:r w:rsidRPr="004C790B">
        <w:rPr>
          <w:highlight w:val="yellow"/>
        </w:rPr>
        <w:fldChar w:fldCharType="begin"/>
      </w:r>
      <w:r w:rsidRPr="008B020C">
        <w:rPr>
          <w:lang w:val="en-US"/>
        </w:rPr>
        <w:instrText xml:space="preserve"> REF _Ref534191929 \r \h </w:instrText>
      </w:r>
      <w:r w:rsidRPr="008B020C">
        <w:rPr>
          <w:highlight w:val="yellow"/>
          <w:lang w:val="en-US"/>
        </w:rPr>
        <w:instrText xml:space="preserve"> \* MERGEFORMAT </w:instrText>
      </w:r>
      <w:r w:rsidRPr="004C790B">
        <w:rPr>
          <w:highlight w:val="yellow"/>
        </w:rPr>
      </w:r>
      <w:r w:rsidRPr="004C790B">
        <w:rPr>
          <w:highlight w:val="yellow"/>
        </w:rPr>
        <w:fldChar w:fldCharType="separate"/>
      </w:r>
      <w:r w:rsidRPr="008B020C">
        <w:rPr>
          <w:lang w:val="en-US"/>
        </w:rPr>
        <w:t>[1]</w:t>
      </w:r>
      <w:r w:rsidRPr="004C790B">
        <w:rPr>
          <w:highlight w:val="yellow"/>
        </w:rPr>
        <w:fldChar w:fldCharType="end"/>
      </w:r>
      <w:r w:rsidRPr="008B020C">
        <w:rPr>
          <w:lang w:val="en-US"/>
        </w:rPr>
        <w:t xml:space="preserve">. Before that a NR Study Item has been concluded in RAN1 </w:t>
      </w:r>
      <w:r w:rsidRPr="004C790B">
        <w:rPr>
          <w:highlight w:val="yellow"/>
        </w:rPr>
        <w:fldChar w:fldCharType="begin"/>
      </w:r>
      <w:r w:rsidRPr="008B020C">
        <w:rPr>
          <w:lang w:val="en-US"/>
        </w:rPr>
        <w:instrText xml:space="preserve"> REF _Ref534191941 \r \h </w:instrText>
      </w:r>
      <w:r w:rsidRPr="008B020C">
        <w:rPr>
          <w:highlight w:val="yellow"/>
          <w:lang w:val="en-US"/>
        </w:rPr>
        <w:instrText xml:space="preserve"> \* MERGEFORMAT </w:instrText>
      </w:r>
      <w:r w:rsidRPr="004C790B">
        <w:rPr>
          <w:highlight w:val="yellow"/>
        </w:rPr>
      </w:r>
      <w:r w:rsidRPr="004C790B">
        <w:rPr>
          <w:highlight w:val="yellow"/>
        </w:rPr>
        <w:fldChar w:fldCharType="separate"/>
      </w:r>
      <w:r w:rsidRPr="008B020C">
        <w:rPr>
          <w:lang w:val="en-US"/>
        </w:rPr>
        <w:t>[2]</w:t>
      </w:r>
      <w:r w:rsidRPr="004C790B">
        <w:rPr>
          <w:highlight w:val="yellow"/>
        </w:rPr>
        <w:fldChar w:fldCharType="end"/>
      </w:r>
      <w:r w:rsidRPr="008B020C">
        <w:rPr>
          <w:rFonts w:eastAsia="Times New Roman"/>
          <w:lang w:val="en-US"/>
        </w:rPr>
        <w:t>.</w:t>
      </w:r>
    </w:p>
    <w:p w14:paraId="5706E0C0" w14:textId="77777777" w:rsidR="00BB6C5F" w:rsidRPr="008B020C" w:rsidRDefault="00BB6C5F" w:rsidP="00BB6C5F">
      <w:pPr>
        <w:rPr>
          <w:lang w:val="en-US"/>
        </w:rPr>
      </w:pPr>
      <w:r w:rsidRPr="008B020C">
        <w:rPr>
          <w:lang w:val="en-US"/>
        </w:rPr>
        <w:t xml:space="preserve">In RAN plenary #84, down-scoping of features has been agreed in </w:t>
      </w:r>
      <w:r>
        <w:fldChar w:fldCharType="begin"/>
      </w:r>
      <w:r w:rsidRPr="008B020C">
        <w:rPr>
          <w:lang w:val="en-US"/>
        </w:rPr>
        <w:instrText xml:space="preserve"> REF _Ref15459134 \r \h </w:instrText>
      </w:r>
      <w:r>
        <w:fldChar w:fldCharType="separate"/>
      </w:r>
      <w:r w:rsidRPr="008B020C">
        <w:rPr>
          <w:lang w:val="en-US"/>
        </w:rPr>
        <w:t>[3]</w:t>
      </w:r>
      <w:r>
        <w:fldChar w:fldCharType="end"/>
      </w:r>
      <w:r w:rsidRPr="008B020C">
        <w:rPr>
          <w:lang w:val="en-US"/>
        </w:rPr>
        <w:t>. The relevant scope agreed for this sub-agenda is the following:</w:t>
      </w:r>
    </w:p>
    <w:p w14:paraId="25DA496A" w14:textId="77777777" w:rsidR="00BB6C5F" w:rsidRPr="003D3350" w:rsidRDefault="00BB6C5F" w:rsidP="00BB6C5F">
      <w:pPr>
        <w:rPr>
          <w:lang w:val="en-US"/>
        </w:rPr>
      </w:pPr>
      <w:r w:rsidRPr="003D3350">
        <w:rPr>
          <w:b/>
          <w:bCs/>
          <w:lang w:val="en-US"/>
        </w:rPr>
        <w:t>Essential</w:t>
      </w:r>
    </w:p>
    <w:p w14:paraId="423F2420" w14:textId="77777777" w:rsidR="00BB6C5F" w:rsidRPr="003D3350" w:rsidRDefault="00BB6C5F" w:rsidP="006C6685">
      <w:pPr>
        <w:numPr>
          <w:ilvl w:val="0"/>
          <w:numId w:val="4"/>
        </w:numPr>
        <w:rPr>
          <w:lang w:val="en-US"/>
        </w:rPr>
      </w:pPr>
      <w:r>
        <w:rPr>
          <w:lang w:val="en-US"/>
        </w:rPr>
        <w:t>CORESET</w:t>
      </w:r>
      <w:r w:rsidRPr="003D3350">
        <w:rPr>
          <w:lang w:val="en-US"/>
        </w:rPr>
        <w:t xml:space="preserve"> for wideband (multiple coresets with one or more per LBT subband or multi-cluster coreset with one cluster per subband)</w:t>
      </w:r>
    </w:p>
    <w:p w14:paraId="0B59B772" w14:textId="77777777" w:rsidR="00BB6C5F" w:rsidRPr="003D3350" w:rsidRDefault="00BB6C5F" w:rsidP="00BB6C5F">
      <w:pPr>
        <w:rPr>
          <w:lang w:val="en-US"/>
        </w:rPr>
      </w:pPr>
      <w:r w:rsidRPr="003D3350">
        <w:rPr>
          <w:b/>
          <w:bCs/>
          <w:lang w:val="en-US"/>
        </w:rPr>
        <w:t>Optimizations</w:t>
      </w:r>
    </w:p>
    <w:p w14:paraId="0BDF3F66" w14:textId="0441E756" w:rsidR="00BB6C5F" w:rsidRPr="002B6605" w:rsidRDefault="00BB6C5F" w:rsidP="002B6605">
      <w:pPr>
        <w:numPr>
          <w:ilvl w:val="0"/>
          <w:numId w:val="5"/>
        </w:numPr>
        <w:rPr>
          <w:lang w:val="en-US"/>
        </w:rPr>
      </w:pPr>
      <w:r w:rsidRPr="003D3350">
        <w:rPr>
          <w:lang w:val="en-US"/>
        </w:rPr>
        <w:t>If PUSCH Alt 2 is also supported</w:t>
      </w:r>
      <w:r w:rsidR="00757276">
        <w:rPr>
          <w:lang w:val="en-US"/>
        </w:rPr>
        <w:t>.</w:t>
      </w:r>
    </w:p>
    <w:p w14:paraId="5968D2AA" w14:textId="50431BBB" w:rsidR="00084FCA" w:rsidRDefault="00227572" w:rsidP="003B3014">
      <w:pPr>
        <w:pStyle w:val="Heading1"/>
        <w:rPr>
          <w:lang w:val="en-US"/>
        </w:rPr>
      </w:pPr>
      <w:r>
        <w:rPr>
          <w:lang w:val="en-US"/>
        </w:rPr>
        <w:t>Intra-carrier g</w:t>
      </w:r>
      <w:r w:rsidR="00084FCA">
        <w:rPr>
          <w:lang w:val="en-US"/>
        </w:rPr>
        <w:t>uard</w:t>
      </w:r>
      <w:r>
        <w:rPr>
          <w:lang w:val="en-US"/>
        </w:rPr>
        <w:t>-</w:t>
      </w:r>
      <w:r w:rsidR="00084FCA">
        <w:rPr>
          <w:lang w:val="en-US"/>
        </w:rPr>
        <w:t>band</w:t>
      </w:r>
      <w:r w:rsidR="00135949">
        <w:rPr>
          <w:lang w:val="en-US"/>
        </w:rPr>
        <w:t>s</w:t>
      </w:r>
    </w:p>
    <w:p w14:paraId="398BBC1C" w14:textId="064ECA74" w:rsidR="00135949" w:rsidRPr="00135949" w:rsidRDefault="00135949" w:rsidP="00135949">
      <w:pPr>
        <w:pStyle w:val="Heading2"/>
        <w:rPr>
          <w:lang w:val="en-US"/>
        </w:rPr>
      </w:pPr>
      <w:r>
        <w:rPr>
          <w:lang w:val="en-US"/>
        </w:rPr>
        <w:t>Alignment to RAN2 specification</w:t>
      </w:r>
    </w:p>
    <w:p w14:paraId="5C06A9C4" w14:textId="6082991F" w:rsidR="003B3014" w:rsidRDefault="003B3014" w:rsidP="003B3014">
      <w:pPr>
        <w:rPr>
          <w:lang w:val="en-US"/>
        </w:rPr>
      </w:pPr>
      <w:r>
        <w:rPr>
          <w:lang w:val="en-US"/>
        </w:rPr>
        <w:t>RAN2#109</w:t>
      </w:r>
      <w:r w:rsidR="00FC11B7">
        <w:rPr>
          <w:lang w:val="en-US"/>
        </w:rPr>
        <w:t>b-e</w:t>
      </w:r>
      <w:r>
        <w:rPr>
          <w:lang w:val="en-US"/>
        </w:rPr>
        <w:t xml:space="preserve"> introduced GBs </w:t>
      </w:r>
      <w:r w:rsidR="008F69CB">
        <w:rPr>
          <w:lang w:val="en-US"/>
        </w:rPr>
        <w:t xml:space="preserve">in CR </w:t>
      </w:r>
      <w:r w:rsidR="00571F56">
        <w:t>R2-2003878</w:t>
      </w:r>
      <w:r w:rsidR="008F69CB">
        <w:rPr>
          <w:lang w:val="en-US"/>
        </w:rPr>
        <w:t>, excerpt from CR is shown below.</w:t>
      </w:r>
    </w:p>
    <w:tbl>
      <w:tblPr>
        <w:tblStyle w:val="TableGrid"/>
        <w:tblW w:w="0" w:type="auto"/>
        <w:tblLook w:val="04A0" w:firstRow="1" w:lastRow="0" w:firstColumn="1" w:lastColumn="0" w:noHBand="0" w:noVBand="1"/>
      </w:tblPr>
      <w:tblGrid>
        <w:gridCol w:w="9629"/>
      </w:tblGrid>
      <w:tr w:rsidR="00B3162D" w14:paraId="2D79C798" w14:textId="77777777" w:rsidTr="003B3014">
        <w:tc>
          <w:tcPr>
            <w:tcW w:w="9629" w:type="dxa"/>
          </w:tcPr>
          <w:p w14:paraId="59B0BD34" w14:textId="77777777" w:rsidR="00A91314" w:rsidRPr="00F537EB" w:rsidRDefault="00A91314" w:rsidP="00A91314">
            <w:pPr>
              <w:pStyle w:val="PL"/>
            </w:pPr>
            <w:r w:rsidRPr="00F537EB">
              <w:t>IntraCellGuardBand-r16 ::=          SEQUENCE (SIZE (1..ffsValue)) OF GuardBand-r16 -- FFS upper size 4, assuming 100Mhz cell</w:t>
            </w:r>
          </w:p>
          <w:p w14:paraId="6C5759F1" w14:textId="77777777" w:rsidR="00A91314" w:rsidRPr="00F537EB" w:rsidRDefault="00A91314" w:rsidP="00A91314">
            <w:pPr>
              <w:pStyle w:val="PL"/>
            </w:pPr>
          </w:p>
          <w:p w14:paraId="6E225B86" w14:textId="77777777" w:rsidR="00A91314" w:rsidRPr="00F537EB" w:rsidRDefault="00A91314" w:rsidP="00A91314">
            <w:pPr>
              <w:pStyle w:val="PL"/>
            </w:pPr>
            <w:r w:rsidRPr="00F537EB">
              <w:t>GuardBand-r16       ::=   SEQUENCE {</w:t>
            </w:r>
          </w:p>
          <w:p w14:paraId="371E0FF4" w14:textId="77777777" w:rsidR="00A91314" w:rsidRPr="00F537EB" w:rsidRDefault="00A91314" w:rsidP="00A91314">
            <w:pPr>
              <w:pStyle w:val="PL"/>
            </w:pPr>
            <w:r w:rsidRPr="00F537EB">
              <w:t xml:space="preserve">     startCRB-r16             INTEGER (0..ffsValue), --FFS upper range 275</w:t>
            </w:r>
          </w:p>
          <w:p w14:paraId="1756C940" w14:textId="77777777" w:rsidR="00A91314" w:rsidRPr="00F537EB" w:rsidRDefault="00A91314" w:rsidP="00A91314">
            <w:pPr>
              <w:pStyle w:val="PL"/>
            </w:pPr>
            <w:r w:rsidRPr="00F537EB">
              <w:t xml:space="preserve">     nrofCRBs-r16             INTEGER (</w:t>
            </w:r>
            <w:r>
              <w:t>0</w:t>
            </w:r>
            <w:r w:rsidRPr="00F537EB">
              <w:t>..ffsValue)</w:t>
            </w:r>
          </w:p>
          <w:p w14:paraId="77736C45" w14:textId="77777777" w:rsidR="00A91314" w:rsidRPr="00F537EB" w:rsidRDefault="00A91314" w:rsidP="00A91314">
            <w:pPr>
              <w:pStyle w:val="PL"/>
            </w:pPr>
            <w:r w:rsidRPr="00F537EB">
              <w:t>}</w:t>
            </w:r>
          </w:p>
          <w:p w14:paraId="3AD2364C" w14:textId="74D385EE" w:rsidR="003B3014" w:rsidRDefault="003B3014" w:rsidP="00BB6C5F">
            <w:pPr>
              <w:rPr>
                <w:b/>
                <w:bCs/>
                <w:lang w:val="en-US"/>
              </w:rPr>
            </w:pPr>
          </w:p>
        </w:tc>
      </w:tr>
      <w:tr w:rsidR="00A91314" w:rsidRPr="00325D1F" w14:paraId="289D8DF0" w14:textId="77777777" w:rsidTr="003B3014">
        <w:tc>
          <w:tcPr>
            <w:tcW w:w="9629" w:type="dxa"/>
          </w:tcPr>
          <w:p w14:paraId="777CF80B" w14:textId="77777777" w:rsidR="00A91314" w:rsidRPr="005C55B9" w:rsidRDefault="00A91314" w:rsidP="00A91314">
            <w:pPr>
              <w:pStyle w:val="TAL"/>
              <w:rPr>
                <w:szCs w:val="22"/>
                <w:lang w:val="en-US"/>
              </w:rPr>
            </w:pPr>
            <w:bookmarkStart w:id="1" w:name="_Hlk39230525"/>
            <w:r w:rsidRPr="00F537EB">
              <w:rPr>
                <w:b/>
                <w:i/>
                <w:szCs w:val="22"/>
              </w:rPr>
              <w:t>intraCellGuardBandDL</w:t>
            </w:r>
            <w:r>
              <w:rPr>
                <w:b/>
                <w:i/>
                <w:szCs w:val="22"/>
                <w:lang w:val="en-US"/>
              </w:rPr>
              <w:t xml:space="preserve">, </w:t>
            </w:r>
            <w:r w:rsidRPr="00F537EB">
              <w:rPr>
                <w:b/>
                <w:i/>
                <w:szCs w:val="22"/>
              </w:rPr>
              <w:t>intraCellGuardBand</w:t>
            </w:r>
            <w:r>
              <w:rPr>
                <w:b/>
                <w:i/>
                <w:szCs w:val="22"/>
                <w:lang w:val="en-US"/>
              </w:rPr>
              <w:t>U</w:t>
            </w:r>
            <w:r w:rsidRPr="00F537EB">
              <w:rPr>
                <w:b/>
                <w:i/>
                <w:szCs w:val="22"/>
              </w:rPr>
              <w:t>L</w:t>
            </w:r>
          </w:p>
          <w:bookmarkEnd w:id="1"/>
          <w:p w14:paraId="1DD5A812" w14:textId="1044C8B1" w:rsidR="00A91314" w:rsidRPr="00325D1F" w:rsidRDefault="00A91314" w:rsidP="00A91314">
            <w:pPr>
              <w:pStyle w:val="TAL"/>
              <w:rPr>
                <w:b/>
                <w:i/>
                <w:szCs w:val="22"/>
                <w:lang w:eastAsia="ja-JP"/>
              </w:rPr>
            </w:pPr>
            <w:r>
              <w:rPr>
                <w:szCs w:val="22"/>
                <w:lang w:val="en-US"/>
              </w:rPr>
              <w:t xml:space="preserve">List of guard bands in a BWP. For each entry in the list, </w:t>
            </w:r>
            <w:r w:rsidRPr="00430428">
              <w:rPr>
                <w:i/>
                <w:iCs/>
              </w:rPr>
              <w:t>startCRB</w:t>
            </w:r>
            <w:r>
              <w:rPr>
                <w:lang w:val="en-US"/>
              </w:rPr>
              <w:t xml:space="preserve"> indicates the starting RB of the guard band and </w:t>
            </w:r>
            <w:r w:rsidRPr="00430428">
              <w:rPr>
                <w:i/>
                <w:iCs/>
              </w:rPr>
              <w:t>nrofCRBs</w:t>
            </w:r>
            <w:r>
              <w:rPr>
                <w:lang w:val="en-US"/>
              </w:rPr>
              <w:t xml:space="preserve"> indicates the length of the guard band in RBs. For </w:t>
            </w:r>
            <w:r w:rsidRPr="00332362">
              <w:rPr>
                <w:bCs/>
                <w:i/>
                <w:szCs w:val="22"/>
              </w:rPr>
              <w:t>intraCellGuardBand</w:t>
            </w:r>
            <w:r w:rsidRPr="00332362">
              <w:rPr>
                <w:bCs/>
                <w:i/>
                <w:szCs w:val="22"/>
                <w:lang w:val="en-US"/>
              </w:rPr>
              <w:t>U</w:t>
            </w:r>
            <w:r w:rsidRPr="00332362">
              <w:rPr>
                <w:bCs/>
                <w:i/>
                <w:szCs w:val="22"/>
              </w:rPr>
              <w:t xml:space="preserve">L, </w:t>
            </w:r>
            <w:r w:rsidRPr="00332362">
              <w:rPr>
                <w:bCs/>
                <w:iCs/>
                <w:szCs w:val="22"/>
                <w:lang w:val="en-US"/>
              </w:rPr>
              <w:t>w</w:t>
            </w:r>
            <w:r w:rsidRPr="00332362">
              <w:rPr>
                <w:bCs/>
                <w:iCs/>
                <w:lang w:val="en-US"/>
              </w:rPr>
              <w:t>hen</w:t>
            </w:r>
            <w:r>
              <w:rPr>
                <w:lang w:val="en-US"/>
              </w:rPr>
              <w:t xml:space="preserve"> </w:t>
            </w:r>
            <w:r w:rsidRPr="00430428">
              <w:rPr>
                <w:i/>
                <w:iCs/>
              </w:rPr>
              <w:t>nrofCRBs</w:t>
            </w:r>
            <w:r>
              <w:rPr>
                <w:lang w:val="en-US"/>
              </w:rPr>
              <w:t xml:space="preserve"> is 0, zero-size or no guard band is used. </w:t>
            </w:r>
            <w:r w:rsidRPr="00F537EB">
              <w:rPr>
                <w:szCs w:val="22"/>
              </w:rPr>
              <w:t xml:space="preserve">If not configured, the guard bands are </w:t>
            </w:r>
            <w:r>
              <w:rPr>
                <w:szCs w:val="22"/>
                <w:lang w:val="en-US"/>
              </w:rPr>
              <w:t xml:space="preserve">defined </w:t>
            </w:r>
            <w:r w:rsidRPr="00F537EB">
              <w:rPr>
                <w:szCs w:val="22"/>
              </w:rPr>
              <w:t xml:space="preserve">according the TS 38.101-X. </w:t>
            </w:r>
          </w:p>
        </w:tc>
      </w:tr>
    </w:tbl>
    <w:p w14:paraId="1A871032" w14:textId="4D9A9449" w:rsidR="00B3162D" w:rsidRDefault="00B3162D" w:rsidP="00BB6C5F">
      <w:pPr>
        <w:rPr>
          <w:b/>
          <w:bCs/>
        </w:rPr>
      </w:pPr>
    </w:p>
    <w:p w14:paraId="3E37994C" w14:textId="7C8B2E1A" w:rsidR="00135949" w:rsidRDefault="00135949" w:rsidP="00BB6C5F">
      <w:r>
        <w:t>Based on the RAN2 design, RAN1 now can finalize specification by adopting the following TP</w:t>
      </w:r>
    </w:p>
    <w:p w14:paraId="19786DA3" w14:textId="45D58117" w:rsidR="002B6605" w:rsidRPr="002B6605" w:rsidRDefault="002B6605" w:rsidP="00BB6C5F">
      <w:pPr>
        <w:rPr>
          <w:i/>
          <w:iCs/>
        </w:rPr>
      </w:pPr>
      <w:r w:rsidRPr="002B6605">
        <w:rPr>
          <w:b/>
          <w:bCs/>
        </w:rPr>
        <w:t xml:space="preserve">Proposal 1: </w:t>
      </w:r>
      <w:r w:rsidRPr="002B6605">
        <w:rPr>
          <w:i/>
          <w:iCs/>
        </w:rPr>
        <w:t>Remove brackets in sub-clause 7 in TS38.214</w:t>
      </w:r>
    </w:p>
    <w:tbl>
      <w:tblPr>
        <w:tblStyle w:val="TableGrid"/>
        <w:tblW w:w="0" w:type="auto"/>
        <w:tblLook w:val="04A0" w:firstRow="1" w:lastRow="0" w:firstColumn="1" w:lastColumn="0" w:noHBand="0" w:noVBand="1"/>
      </w:tblPr>
      <w:tblGrid>
        <w:gridCol w:w="9629"/>
      </w:tblGrid>
      <w:tr w:rsidR="00A9122A" w14:paraId="3223AE65" w14:textId="77777777" w:rsidTr="00A9122A">
        <w:tc>
          <w:tcPr>
            <w:tcW w:w="9629" w:type="dxa"/>
          </w:tcPr>
          <w:p w14:paraId="1AACCCB1" w14:textId="77777777" w:rsidR="00B87CE7" w:rsidRDefault="00B87CE7" w:rsidP="00B87CE7">
            <w:pPr>
              <w:keepNext/>
              <w:keepLines/>
              <w:pBdr>
                <w:top w:val="single" w:sz="12" w:space="3" w:color="auto"/>
              </w:pBdr>
              <w:spacing w:before="240"/>
              <w:ind w:left="1134" w:hanging="1134"/>
              <w:outlineLvl w:val="0"/>
              <w:rPr>
                <w:rFonts w:ascii="Arial" w:eastAsia="Gulim" w:hAnsi="Arial"/>
                <w:sz w:val="36"/>
              </w:rPr>
            </w:pPr>
            <w:r>
              <w:rPr>
                <w:rFonts w:ascii="Arial" w:eastAsia="Gulim" w:hAnsi="Arial"/>
                <w:sz w:val="36"/>
              </w:rPr>
              <w:lastRenderedPageBreak/>
              <w:t>7</w:t>
            </w:r>
            <w:r>
              <w:rPr>
                <w:rFonts w:ascii="Arial" w:eastAsia="Gulim" w:hAnsi="Arial"/>
                <w:sz w:val="36"/>
              </w:rPr>
              <w:tab/>
              <w:t>UE procedures for transmitting and receiving on a carrier with intra-cell guard bands</w:t>
            </w:r>
          </w:p>
          <w:p w14:paraId="72357578" w14:textId="2364807C" w:rsidR="00B87CE7" w:rsidRDefault="00B87CE7" w:rsidP="00B87CE7">
            <w:pPr>
              <w:rPr>
                <w:rFonts w:eastAsia="Malgun Gothic"/>
                <w:i/>
                <w:lang w:val="en-US"/>
              </w:rPr>
            </w:pPr>
            <w:r>
              <w:rPr>
                <w:rFonts w:eastAsia="Malgun Gothic"/>
                <w:lang w:val="en-US"/>
              </w:rPr>
              <w:t xml:space="preserve">For operation with shared spectrum channel access, when the UE is configured with any of </w:t>
            </w:r>
            <w:r>
              <w:rPr>
                <w:rFonts w:eastAsia="Malgun Gothic"/>
                <w:i/>
                <w:lang w:val="en-US"/>
              </w:rPr>
              <w:t xml:space="preserve">intraCellGuardBandUL-r16 </w:t>
            </w:r>
            <w:r>
              <w:rPr>
                <w:rFonts w:eastAsia="Malgun Gothic"/>
                <w:lang w:val="en-US"/>
              </w:rPr>
              <w:t xml:space="preserve">for UL carrier and </w:t>
            </w:r>
            <w:r>
              <w:rPr>
                <w:rFonts w:eastAsia="Malgun Gothic"/>
                <w:i/>
                <w:lang w:val="en-US"/>
              </w:rPr>
              <w:t xml:space="preserve">intraCellGuardBandDL-r16 </w:t>
            </w:r>
            <w:r>
              <w:rPr>
                <w:rFonts w:eastAsia="Malgun Gothic"/>
                <w:lang w:val="en-US"/>
              </w:rPr>
              <w:t>for DL carrier</w:t>
            </w:r>
            <w:r>
              <w:rPr>
                <w:rFonts w:eastAsia="Malgun Gothic"/>
                <w:lang w:val="en-CA"/>
              </w:rPr>
              <w:t xml:space="preserve">, the UE is provided with  </w:t>
            </w:r>
            <m:oMath>
              <m:sSub>
                <m:sSubPr>
                  <m:ctrlPr>
                    <w:rPr>
                      <w:rFonts w:ascii="Cambria Math" w:eastAsia="Malgun Gothic" w:hAnsi="Cambria Math"/>
                      <w:i/>
                    </w:rPr>
                  </m:ctrlPr>
                </m:sSubPr>
                <m:e>
                  <m:r>
                    <w:rPr>
                      <w:rFonts w:ascii="Cambria Math" w:eastAsia="Malgun Gothic" w:hAnsi="Cambria Math"/>
                      <w:lang w:val="en-US"/>
                    </w:rPr>
                    <m:t>N</m:t>
                  </m:r>
                </m:e>
                <m:sub>
                  <m:r>
                    <w:rPr>
                      <w:rFonts w:ascii="Cambria Math" w:eastAsia="Malgun Gothic" w:hAnsi="Cambria Math"/>
                      <w:lang w:val="en-US"/>
                    </w:rPr>
                    <m:t>RB-set,x</m:t>
                  </m:r>
                </m:sub>
              </m:sSub>
              <m:r>
                <w:rPr>
                  <w:rFonts w:ascii="Cambria Math" w:eastAsia="Malgun Gothic" w:hAnsi="Cambria Math"/>
                  <w:lang w:val="en-US"/>
                </w:rPr>
                <m:t xml:space="preserve">-1 </m:t>
              </m:r>
            </m:oMath>
            <w:r>
              <w:rPr>
                <w:rFonts w:eastAsia="Malgun Gothic"/>
                <w:lang w:val="en-US"/>
              </w:rPr>
              <w:t xml:space="preserve"> intra-cell guard bands on a carrier, each defined by start CRB and size in number of CRBs, </w:t>
            </w:r>
            <m:oMath>
              <m:r>
                <w:rPr>
                  <w:rFonts w:ascii="Cambria Math" w:eastAsia="Malgun Gothic" w:hAnsi="Cambria Math"/>
                  <w:lang w:val="en-US"/>
                </w:rPr>
                <m:t>G</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start,μ</m:t>
                  </m:r>
                </m:sup>
              </m:sSubSup>
              <m:r>
                <w:rPr>
                  <w:rFonts w:ascii="Cambria Math" w:eastAsia="Malgun Gothic" w:hAnsi="Cambria Math"/>
                  <w:lang w:val="en-US"/>
                </w:rPr>
                <m:t xml:space="preserve"> </m:t>
              </m:r>
            </m:oMath>
            <w:r>
              <w:rPr>
                <w:rFonts w:eastAsia="Malgun Gothic"/>
                <w:lang w:val="en-US"/>
              </w:rPr>
              <w:t xml:space="preserve"> and </w:t>
            </w:r>
            <m:oMath>
              <m:r>
                <w:rPr>
                  <w:rFonts w:ascii="Cambria Math" w:eastAsia="Malgun Gothic" w:hAnsi="Cambria Math"/>
                  <w:lang w:val="en-US"/>
                </w:rPr>
                <m:t>G</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size,μ</m:t>
                  </m:r>
                </m:sup>
              </m:sSubSup>
              <m:r>
                <w:rPr>
                  <w:rFonts w:ascii="Cambria Math" w:eastAsia="Malgun Gothic" w:hAnsi="Cambria Math"/>
                  <w:lang w:val="en-US"/>
                </w:rPr>
                <m:t xml:space="preserve"> </m:t>
              </m:r>
            </m:oMath>
            <w:r>
              <w:rPr>
                <w:rFonts w:eastAsia="Malgun Gothic"/>
                <w:lang w:val="en-US"/>
              </w:rPr>
              <w:t xml:space="preserve">, provided by higher layer parameters </w:t>
            </w:r>
            <w:r>
              <w:rPr>
                <w:rFonts w:eastAsia="Malgun Gothic"/>
                <w:i/>
                <w:lang w:val="en-US"/>
              </w:rPr>
              <w:t>startCRB-r16</w:t>
            </w:r>
            <w:r>
              <w:rPr>
                <w:rFonts w:eastAsia="Malgun Gothic"/>
                <w:lang w:val="en-US"/>
              </w:rPr>
              <w:t xml:space="preserve"> and </w:t>
            </w:r>
            <w:r>
              <w:rPr>
                <w:rFonts w:eastAsia="Malgun Gothic"/>
                <w:i/>
                <w:lang w:val="en-US"/>
              </w:rPr>
              <w:t>nrofCRBs-r16</w:t>
            </w:r>
            <w:r>
              <w:rPr>
                <w:rFonts w:eastAsia="Malgun Gothic"/>
                <w:lang w:val="en-US"/>
              </w:rPr>
              <w:t>, respectively.</w:t>
            </w:r>
            <w:r>
              <w:t xml:space="preserve"> </w:t>
            </w:r>
            <w:r w:rsidRPr="00233771">
              <w:rPr>
                <w:rFonts w:eastAsia="Malgun Gothic"/>
                <w:lang w:val="en-US"/>
              </w:rPr>
              <w:t xml:space="preserve">The subscript </w:t>
            </w:r>
            <w:r w:rsidRPr="00233771">
              <w:rPr>
                <w:rFonts w:eastAsia="Malgun Gothic"/>
                <w:i/>
                <w:lang w:val="en-US"/>
              </w:rPr>
              <w:t>x</w:t>
            </w:r>
            <w:r w:rsidRPr="00233771">
              <w:rPr>
                <w:rFonts w:eastAsia="Malgun Gothic"/>
                <w:lang w:val="en-US"/>
              </w:rPr>
              <w:t xml:space="preserve"> is set to DL and UL for the downlink and uplink, respectively. Where there is no risk of confusion, the subscript </w:t>
            </w:r>
            <w:r w:rsidRPr="00233771">
              <w:rPr>
                <w:rFonts w:eastAsia="Malgun Gothic"/>
                <w:i/>
                <w:lang w:val="en-US"/>
              </w:rPr>
              <w:t>x</w:t>
            </w:r>
            <w:r w:rsidRPr="00233771">
              <w:rPr>
                <w:rFonts w:eastAsia="Malgun Gothic"/>
                <w:lang w:val="en-US"/>
              </w:rPr>
              <w:t xml:space="preserve"> can be dropped.</w:t>
            </w:r>
            <w:r>
              <w:rPr>
                <w:rFonts w:eastAsia="Malgun Gothic"/>
                <w:lang w:val="en-US"/>
              </w:rPr>
              <w:t xml:space="preserve"> The intra-cell guard bands separate </w:t>
            </w:r>
            <m:oMath>
              <m:sSub>
                <m:sSubPr>
                  <m:ctrlPr>
                    <w:rPr>
                      <w:rFonts w:ascii="Cambria Math" w:eastAsia="Malgun Gothic" w:hAnsi="Cambria Math"/>
                      <w:i/>
                    </w:rPr>
                  </m:ctrlPr>
                </m:sSubPr>
                <m:e>
                  <m:r>
                    <w:rPr>
                      <w:rFonts w:ascii="Cambria Math" w:eastAsia="Malgun Gothic" w:hAnsi="Cambria Math"/>
                      <w:lang w:val="en-US"/>
                    </w:rPr>
                    <m:t>N</m:t>
                  </m:r>
                </m:e>
                <m:sub>
                  <m:r>
                    <w:rPr>
                      <w:rFonts w:ascii="Cambria Math" w:eastAsia="Malgun Gothic" w:hAnsi="Cambria Math"/>
                      <w:lang w:val="en-US"/>
                    </w:rPr>
                    <m:t>RB-set,x</m:t>
                  </m:r>
                </m:sub>
              </m:sSub>
              <m:r>
                <w:rPr>
                  <w:rFonts w:ascii="Cambria Math" w:eastAsia="Malgun Gothic" w:hAnsi="Cambria Math"/>
                  <w:lang w:val="en-US"/>
                </w:rPr>
                <m:t xml:space="preserve"> </m:t>
              </m:r>
            </m:oMath>
            <w:r>
              <w:rPr>
                <w:rFonts w:eastAsia="Malgun Gothic"/>
                <w:lang w:val="en-US"/>
              </w:rPr>
              <w:t xml:space="preserve">RB sets, each defined by start and end CRB,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start,μ</m:t>
                  </m:r>
                </m:sup>
              </m:sSubSup>
              <m:r>
                <w:rPr>
                  <w:rFonts w:ascii="Cambria Math" w:eastAsia="Malgun Gothic" w:hAnsi="Cambria Math"/>
                  <w:lang w:val="en-US"/>
                </w:rPr>
                <m:t xml:space="preserve"> </m:t>
              </m:r>
            </m:oMath>
            <w:r>
              <w:rPr>
                <w:rFonts w:eastAsia="Malgun Gothic"/>
                <w:lang w:val="en-US"/>
              </w:rPr>
              <w:t xml:space="preserve">and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end,μ</m:t>
                  </m:r>
                </m:sup>
              </m:sSubSup>
            </m:oMath>
            <w:r>
              <w:rPr>
                <w:rFonts w:eastAsia="Malgun Gothic"/>
                <w:lang w:val="en-US"/>
              </w:rPr>
              <w:t xml:space="preserve">, respectively. UE determines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0,x</m:t>
                  </m:r>
                </m:sub>
                <m:sup>
                  <m:r>
                    <w:rPr>
                      <w:rFonts w:ascii="Cambria Math" w:eastAsia="Malgun Gothic" w:hAnsi="Cambria Math"/>
                      <w:lang w:val="en-US"/>
                    </w:rPr>
                    <m:t>start,μ</m:t>
                  </m:r>
                </m:sup>
              </m:sSubSup>
              <m:r>
                <w:rPr>
                  <w:rFonts w:ascii="Cambria Math" w:eastAsia="Malgun Gothic" w:hAnsi="Cambria Math"/>
                  <w:lang w:val="en-US"/>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grid,x</m:t>
                  </m:r>
                </m:sub>
                <m:sup>
                  <m:r>
                    <m:rPr>
                      <m:nor/>
                    </m:rPr>
                    <w:rPr>
                      <w:rFonts w:ascii="Cambria Math" w:eastAsia="Malgun Gothic" w:hAnsi="Cambria Math"/>
                    </w:rPr>
                    <m:t>start</m:t>
                  </m:r>
                  <m:r>
                    <w:rPr>
                      <w:rFonts w:ascii="Cambria Math" w:eastAsia="Malgun Gothic" w:hAnsi="Cambria Math"/>
                    </w:rPr>
                    <m:t>,μ</m:t>
                  </m:r>
                </m:sup>
              </m:sSubSup>
            </m:oMath>
            <w:r>
              <w:rPr>
                <w:rFonts w:eastAsia="Malgun Gothic"/>
              </w:rPr>
              <w:t xml:space="preserve">,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sSub>
                    <m:sSubPr>
                      <m:ctrlPr>
                        <w:rPr>
                          <w:rFonts w:ascii="Cambria Math" w:eastAsia="Malgun Gothic" w:hAnsi="Cambria Math"/>
                          <w:i/>
                        </w:rPr>
                      </m:ctrlPr>
                    </m:sSubPr>
                    <m:e>
                      <m:r>
                        <w:rPr>
                          <w:rFonts w:ascii="Cambria Math" w:eastAsia="Malgun Gothic" w:hAnsi="Cambria Math"/>
                          <w:lang w:val="en-US"/>
                        </w:rPr>
                        <m:t>N</m:t>
                      </m:r>
                    </m:e>
                    <m:sub>
                      <m:r>
                        <w:rPr>
                          <w:rFonts w:ascii="Cambria Math" w:eastAsia="Malgun Gothic" w:hAnsi="Cambria Math"/>
                          <w:lang w:val="en-US"/>
                        </w:rPr>
                        <m:t>RB-set</m:t>
                      </m:r>
                    </m:sub>
                  </m:sSub>
                  <m:r>
                    <w:rPr>
                      <w:rFonts w:ascii="Cambria Math" w:eastAsia="Malgun Gothic" w:hAnsi="Cambria Math"/>
                      <w:lang w:val="en-US"/>
                    </w:rPr>
                    <m:t>-1,x</m:t>
                  </m:r>
                </m:sub>
                <m:sup>
                  <m:r>
                    <w:rPr>
                      <w:rFonts w:ascii="Cambria Math" w:eastAsia="Malgun Gothic" w:hAnsi="Cambria Math"/>
                      <w:lang w:val="en-US"/>
                    </w:rPr>
                    <m:t>end,μ</m:t>
                  </m:r>
                </m:sup>
              </m:sSubSup>
              <m:r>
                <w:rPr>
                  <w:rFonts w:ascii="Cambria Math" w:eastAsia="Malgun Gothic" w:hAnsi="Cambria Math"/>
                  <w:lang w:val="en-US"/>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grid,x</m:t>
                  </m:r>
                </m:sub>
                <m:sup>
                  <m:r>
                    <m:rPr>
                      <m:nor/>
                    </m:rPr>
                    <w:rPr>
                      <w:rFonts w:ascii="Cambria Math" w:eastAsia="Malgun Gothic" w:hAnsi="Cambria Math"/>
                    </w:rPr>
                    <m:t>start</m:t>
                  </m:r>
                  <m:r>
                    <w:rPr>
                      <w:rFonts w:ascii="Cambria Math" w:eastAsia="Malgun Gothic" w:hAnsi="Cambria Math"/>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grid,x</m:t>
                  </m:r>
                </m:sub>
                <m:sup>
                  <m:r>
                    <m:rPr>
                      <m:nor/>
                    </m:rPr>
                    <w:rPr>
                      <w:rFonts w:ascii="Cambria Math" w:eastAsia="Malgun Gothic" w:hAnsi="Cambria Math"/>
                    </w:rPr>
                    <m:t>size</m:t>
                  </m:r>
                  <m:r>
                    <w:rPr>
                      <w:rFonts w:ascii="Cambria Math" w:eastAsia="Malgun Gothic" w:hAnsi="Cambria Math"/>
                    </w:rPr>
                    <m:t>,μ</m:t>
                  </m:r>
                </m:sup>
              </m:sSubSup>
              <m:r>
                <w:rPr>
                  <w:rFonts w:ascii="Cambria Math" w:eastAsia="Malgun Gothic" w:hAnsi="Cambria Math"/>
                </w:rPr>
                <m:t>-1</m:t>
              </m:r>
            </m:oMath>
            <w:r>
              <w:rPr>
                <w:rFonts w:eastAsia="Malgun Gothic"/>
                <w:lang w:val="en-US"/>
              </w:rPr>
              <w:t xml:space="preserve">, and the remaining start and end CRBs as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end,μ</m:t>
                  </m:r>
                </m:sup>
              </m:sSubSup>
              <m:r>
                <w:rPr>
                  <w:rFonts w:ascii="Cambria Math" w:eastAsia="Malgun Gothic" w:hAnsi="Cambria Math"/>
                  <w:lang w:val="en-US"/>
                </w:rPr>
                <m:t>=G</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start,μ</m:t>
                  </m:r>
                </m:sup>
              </m:sSubSup>
              <m:r>
                <w:rPr>
                  <w:rFonts w:ascii="Cambria Math" w:eastAsia="Malgun Gothic" w:hAnsi="Cambria Math"/>
                  <w:lang w:val="en-US"/>
                </w:rPr>
                <m:t>-1</m:t>
              </m:r>
            </m:oMath>
            <w:r>
              <w:rPr>
                <w:rFonts w:eastAsia="Malgun Gothic"/>
                <w:lang w:val="en-US"/>
              </w:rPr>
              <w:t xml:space="preserve"> and </w:t>
            </w:r>
            <m:oMath>
              <m:sSubSup>
                <m:sSubSupPr>
                  <m:ctrlPr>
                    <w:rPr>
                      <w:rFonts w:ascii="Cambria Math" w:eastAsia="Malgun Gothic" w:hAnsi="Cambria Math"/>
                      <w:i/>
                    </w:rPr>
                  </m:ctrlPr>
                </m:sSubSupPr>
                <m:e>
                  <m:r>
                    <w:rPr>
                      <w:rFonts w:ascii="Cambria Math" w:eastAsia="Malgun Gothic" w:hAnsi="Cambria Math"/>
                      <w:lang w:val="en-US"/>
                    </w:rPr>
                    <m:t>RB</m:t>
                  </m:r>
                </m:e>
                <m:sub>
                  <m:r>
                    <w:rPr>
                      <w:rFonts w:ascii="Cambria Math" w:eastAsia="Malgun Gothic" w:hAnsi="Cambria Math"/>
                      <w:lang w:val="en-US"/>
                    </w:rPr>
                    <m:t xml:space="preserve"> s+1,x</m:t>
                  </m:r>
                </m:sub>
                <m:sup>
                  <m:r>
                    <w:rPr>
                      <w:rFonts w:ascii="Cambria Math" w:eastAsia="Malgun Gothic" w:hAnsi="Cambria Math"/>
                      <w:lang w:val="en-US"/>
                    </w:rPr>
                    <m:t>start,μ</m:t>
                  </m:r>
                </m:sup>
              </m:sSubSup>
              <m:r>
                <w:rPr>
                  <w:rFonts w:ascii="Cambria Math" w:eastAsia="Malgun Gothic" w:hAnsi="Cambria Math"/>
                  <w:lang w:val="en-US"/>
                </w:rPr>
                <m:t>=G</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start,μ</m:t>
                  </m:r>
                </m:sup>
              </m:sSubSup>
              <m:r>
                <w:rPr>
                  <w:rFonts w:ascii="Cambria Math" w:eastAsia="Malgun Gothic" w:hAnsi="Cambria Math"/>
                  <w:lang w:val="en-US"/>
                </w:rPr>
                <m:t>+G</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size,μ</m:t>
                  </m:r>
                </m:sup>
              </m:sSubSup>
            </m:oMath>
            <w:r>
              <w:rPr>
                <w:rFonts w:eastAsia="Malgun Gothic"/>
                <w:lang w:val="en-US"/>
              </w:rPr>
              <w:t xml:space="preserve">. The RB set </w:t>
            </w:r>
            <w:r w:rsidRPr="00BA62EC">
              <w:rPr>
                <w:rFonts w:eastAsia="Malgun Gothic"/>
                <w:i/>
                <w:lang w:val="en-US"/>
              </w:rPr>
              <w:t>s</w:t>
            </w:r>
            <w:r>
              <w:rPr>
                <w:rFonts w:eastAsia="Malgun Gothic"/>
                <w:lang w:val="en-US"/>
              </w:rPr>
              <w:t xml:space="preserve"> consists of </w:t>
            </w:r>
            <m:oMath>
              <m:r>
                <w:rPr>
                  <w:rFonts w:ascii="Cambria Math" w:eastAsia="Malgun Gothic" w:hAnsi="Cambria Math"/>
                  <w:lang w:val="en-US"/>
                </w:rPr>
                <m:t xml:space="preserve"> 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s,x</m:t>
                  </m:r>
                </m:sub>
                <m:sup>
                  <m:r>
                    <w:rPr>
                      <w:rFonts w:ascii="Cambria Math" w:eastAsia="Malgun Gothic" w:hAnsi="Cambria Math"/>
                      <w:lang w:val="en-US"/>
                    </w:rPr>
                    <m:t>size,μ</m:t>
                  </m:r>
                </m:sup>
              </m:sSubSup>
            </m:oMath>
            <w:r>
              <w:rPr>
                <w:rFonts w:eastAsia="Malgun Gothic" w:hint="eastAsia"/>
                <w:lang w:eastAsia="ko-KR"/>
              </w:rPr>
              <w:t xml:space="preserve"> resource blocks</w:t>
            </w:r>
            <w:r>
              <w:rPr>
                <w:rFonts w:eastAsia="Malgun Gothic"/>
                <w:lang w:eastAsia="ko-KR"/>
              </w:rPr>
              <w:t xml:space="preserve"> where </w:t>
            </w:r>
            <m:oMath>
              <m:r>
                <w:rPr>
                  <w:rFonts w:ascii="Cambria Math" w:eastAsia="Malgun Gothic" w:hAnsi="Cambria Math"/>
                  <w:lang w:val="en-US"/>
                </w:rPr>
                <m:t xml:space="preserve"> 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s,x</m:t>
                  </m:r>
                </m:sub>
                <m:sup>
                  <m:r>
                    <w:rPr>
                      <w:rFonts w:ascii="Cambria Math" w:eastAsia="Malgun Gothic" w:hAnsi="Cambria Math"/>
                      <w:lang w:val="en-US"/>
                    </w:rPr>
                    <m:t>size,μ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end,μ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start,μ</m:t>
                  </m:r>
                </m:sup>
              </m:sSubSup>
              <m:r>
                <w:rPr>
                  <w:rFonts w:ascii="Cambria Math" w:eastAsia="Malgun Gothic" w:hAnsi="Cambria Math"/>
                </w:rPr>
                <m:t>+1</m:t>
              </m:r>
            </m:oMath>
            <w:r>
              <w:rPr>
                <w:rFonts w:eastAsia="Malgun Gothic" w:hint="eastAsia"/>
                <w:lang w:eastAsia="ko-KR"/>
              </w:rPr>
              <w:t xml:space="preserve">. </w:t>
            </w:r>
            <w:r>
              <w:rPr>
                <w:rFonts w:eastAsia="Malgun Gothic"/>
                <w:lang w:val="en-US"/>
              </w:rPr>
              <w:t xml:space="preserve">When the UE is not configured with </w:t>
            </w:r>
            <w:r>
              <w:rPr>
                <w:rFonts w:eastAsia="Malgun Gothic"/>
                <w:i/>
                <w:lang w:val="en-US"/>
              </w:rPr>
              <w:t xml:space="preserve">intraCellGuardBandUL-r16, </w:t>
            </w:r>
            <w:r>
              <w:rPr>
                <w:rFonts w:eastAsia="Malgun Gothic"/>
                <w:lang w:val="en-US"/>
              </w:rPr>
              <w:t xml:space="preserve">the UE determines intra-cell guard band and corresponding RB set according to the </w:t>
            </w:r>
            <w:r w:rsidRPr="00B87CE7">
              <w:rPr>
                <w:rFonts w:eastAsia="Malgun Gothic"/>
                <w:strike/>
                <w:color w:val="FF0000"/>
                <w:lang w:val="en-US"/>
              </w:rPr>
              <w:t>[</w:t>
            </w:r>
            <w:r>
              <w:rPr>
                <w:rFonts w:eastAsia="Malgun Gothic"/>
                <w:lang w:val="en-US"/>
              </w:rPr>
              <w:t xml:space="preserve">default intra-cell GB pattern from [8, TS 38.101-1] corresponding to </w:t>
            </w:r>
            <m:oMath>
              <m:r>
                <w:rPr>
                  <w:rFonts w:ascii="Cambria Math" w:eastAsia="Malgun Gothic" w:hAnsi="Cambria Math"/>
                  <w:lang w:val="en-US"/>
                </w:rPr>
                <m:t>μ</m:t>
              </m:r>
            </m:oMath>
            <w:r>
              <w:rPr>
                <w:rFonts w:eastAsia="Malgun Gothic"/>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grid,x</m:t>
                  </m:r>
                </m:sub>
                <m:sup>
                  <m:r>
                    <m:rPr>
                      <m:nor/>
                    </m:rPr>
                    <w:rPr>
                      <w:rFonts w:ascii="Cambria Math" w:eastAsia="Malgun Gothic" w:hAnsi="Cambria Math"/>
                    </w:rPr>
                    <m:t>size</m:t>
                  </m:r>
                  <m:r>
                    <w:rPr>
                      <w:rFonts w:ascii="Cambria Math" w:eastAsia="Malgun Gothic" w:hAnsi="Cambria Math"/>
                    </w:rPr>
                    <m:t>,μ</m:t>
                  </m:r>
                </m:sup>
              </m:sSubSup>
            </m:oMath>
            <w:r w:rsidRPr="00B87CE7">
              <w:rPr>
                <w:rFonts w:eastAsia="Malgun Gothic"/>
                <w:strike/>
                <w:color w:val="FF0000"/>
                <w:lang w:val="en-US"/>
              </w:rPr>
              <w:t>]</w:t>
            </w:r>
            <w:r>
              <w:rPr>
                <w:rFonts w:eastAsia="Malgun Gothic"/>
                <w:lang w:val="en-US"/>
              </w:rPr>
              <w:t xml:space="preserve">. When the UE is not configured with </w:t>
            </w:r>
            <w:r>
              <w:rPr>
                <w:rFonts w:eastAsia="Malgun Gothic"/>
                <w:i/>
                <w:lang w:val="en-US"/>
              </w:rPr>
              <w:t xml:space="preserve">intraCellGuardBandDL-r16, </w:t>
            </w:r>
            <w:r>
              <w:rPr>
                <w:rFonts w:eastAsia="Malgun Gothic"/>
                <w:lang w:val="en-US"/>
              </w:rPr>
              <w:t xml:space="preserve">the UE determines intra-cell guard band and corresponding RB set according to the </w:t>
            </w:r>
            <w:r w:rsidRPr="002B6605">
              <w:rPr>
                <w:rFonts w:eastAsia="Malgun Gothic"/>
                <w:strike/>
                <w:color w:val="FF0000"/>
                <w:lang w:val="en-US"/>
              </w:rPr>
              <w:t>[</w:t>
            </w:r>
            <w:r>
              <w:rPr>
                <w:rFonts w:eastAsia="Malgun Gothic"/>
                <w:lang w:val="en-US"/>
              </w:rPr>
              <w:t xml:space="preserve">default intra-cell GB pattern from [8, TS 38.101-1] corresponding to </w:t>
            </w:r>
            <m:oMath>
              <m:r>
                <w:rPr>
                  <w:rFonts w:ascii="Cambria Math" w:eastAsia="Malgun Gothic" w:hAnsi="Cambria Math"/>
                  <w:lang w:val="en-US"/>
                </w:rPr>
                <m:t>μ</m:t>
              </m:r>
            </m:oMath>
            <w:r>
              <w:rPr>
                <w:rFonts w:eastAsia="Malgun Gothic"/>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grid,x</m:t>
                  </m:r>
                </m:sub>
                <m:sup>
                  <m:r>
                    <m:rPr>
                      <m:nor/>
                    </m:rPr>
                    <w:rPr>
                      <w:rFonts w:ascii="Cambria Math" w:eastAsia="Malgun Gothic" w:hAnsi="Cambria Math"/>
                    </w:rPr>
                    <m:t>size</m:t>
                  </m:r>
                  <m:r>
                    <w:rPr>
                      <w:rFonts w:ascii="Cambria Math" w:eastAsia="Malgun Gothic" w:hAnsi="Cambria Math"/>
                    </w:rPr>
                    <m:t>,μ</m:t>
                  </m:r>
                </m:sup>
              </m:sSubSup>
            </m:oMath>
            <w:r w:rsidRPr="00D62FCD">
              <w:rPr>
                <w:rFonts w:eastAsia="Malgun Gothic"/>
                <w:strike/>
                <w:color w:val="FF0000"/>
                <w:lang w:val="en-US"/>
              </w:rPr>
              <w:t>]</w:t>
            </w:r>
            <w:r>
              <w:rPr>
                <w:rFonts w:eastAsia="Malgun Gothic"/>
                <w:lang w:val="en-US"/>
              </w:rPr>
              <w:t xml:space="preserve">. </w:t>
            </w:r>
          </w:p>
          <w:p w14:paraId="07E86E44" w14:textId="4AECDB7C" w:rsidR="00B87CE7" w:rsidRDefault="00B87CE7" w:rsidP="00B87CE7">
            <w:pPr>
              <w:jc w:val="both"/>
              <w:rPr>
                <w:rFonts w:eastAsia="Malgun Gothic"/>
                <w:color w:val="000000"/>
                <w:lang w:val="en-US"/>
              </w:rPr>
            </w:pPr>
            <w:r>
              <w:rPr>
                <w:rFonts w:eastAsia="Malgun Gothic"/>
                <w:color w:val="000000"/>
              </w:rPr>
              <w:t xml:space="preserve">For a carrier with intra-cell guard band(s), the UE </w:t>
            </w:r>
            <w:r>
              <w:rPr>
                <w:color w:val="000000"/>
              </w:rPr>
              <w:t xml:space="preserve">expects </w:t>
            </w:r>
            <m:oMath>
              <m:r>
                <w:rPr>
                  <w:rFonts w:ascii="Cambria Math" w:eastAsia="Malgun Gothic" w:hAnsi="Cambria Math"/>
                  <w:lang w:val="en-US"/>
                </w:rPr>
                <m:t xml:space="preserve"> </m:t>
              </m:r>
              <m:sSubSup>
                <m:sSubSupPr>
                  <m:ctrlPr>
                    <w:rPr>
                      <w:rFonts w:ascii="Cambria Math" w:eastAsia="Malgun Gothic" w:hAnsi="Cambria Math"/>
                      <w:i/>
                    </w:rPr>
                  </m:ctrlPr>
                </m:sSubSupPr>
                <m:e>
                  <m:r>
                    <w:rPr>
                      <w:rFonts w:ascii="Cambria Math" w:eastAsia="Malgun Gothic" w:hAnsi="Cambria Math"/>
                      <w:lang w:val="en-US"/>
                    </w:rPr>
                    <m:t>N</m:t>
                  </m:r>
                </m:e>
                <m:sub>
                  <m:r>
                    <w:rPr>
                      <w:rFonts w:ascii="Cambria Math" w:eastAsia="Malgun Gothic" w:hAnsi="Cambria Math"/>
                      <w:lang w:val="en-US"/>
                    </w:rPr>
                    <m:t xml:space="preserve"> BWP,i</m:t>
                  </m:r>
                </m:sub>
                <m:sup>
                  <m:r>
                    <w:rPr>
                      <w:rFonts w:ascii="Cambria Math" w:eastAsia="Malgun Gothic" w:hAnsi="Cambria Math"/>
                      <w:lang w:val="en-US"/>
                    </w:rPr>
                    <m:t>start,μ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lang w:val="en-US"/>
                    </w:rPr>
                    <m:t>RB</m:t>
                  </m:r>
                </m:e>
                <m:sub>
                  <m:r>
                    <w:rPr>
                      <w:rFonts w:ascii="Cambria Math" w:eastAsia="Malgun Gothic" w:hAnsi="Cambria Math"/>
                      <w:lang w:val="en-US"/>
                    </w:rPr>
                    <m:t xml:space="preserve"> s0,x</m:t>
                  </m:r>
                </m:sub>
                <m:sup>
                  <m:r>
                    <w:rPr>
                      <w:rFonts w:ascii="Cambria Math" w:eastAsia="Malgun Gothic" w:hAnsi="Cambria Math"/>
                      <w:lang w:val="en-US"/>
                    </w:rPr>
                    <m:t>start,μ</m:t>
                  </m:r>
                </m:sup>
              </m:sSubSup>
            </m:oMath>
            <w:r>
              <w:rPr>
                <w:color w:val="000000"/>
              </w:rPr>
              <w:t xml:space="preserve">, and </w:t>
            </w:r>
            <m:oMath>
              <m:sSubSup>
                <m:sSubSupPr>
                  <m:ctrlPr>
                    <w:rPr>
                      <w:rFonts w:ascii="Cambria Math" w:eastAsia="Malgun Gothic" w:hAnsi="Cambria Math"/>
                      <w:i/>
                    </w:rPr>
                  </m:ctrlPr>
                </m:sSubSupPr>
                <m:e>
                  <m:r>
                    <w:rPr>
                      <w:rFonts w:ascii="Cambria Math" w:eastAsia="Malgun Gothic" w:hAnsi="Cambria Math"/>
                      <w:lang w:val="en-US"/>
                    </w:rPr>
                    <m:t>N</m:t>
                  </m:r>
                </m:e>
                <m:sub>
                  <m:r>
                    <w:rPr>
                      <w:rFonts w:ascii="Cambria Math" w:eastAsia="Malgun Gothic" w:hAnsi="Cambria Math"/>
                      <w:lang w:val="en-US"/>
                    </w:rPr>
                    <m:t xml:space="preserve"> BWP,i</m:t>
                  </m:r>
                </m:sub>
                <m:sup>
                  <m:r>
                    <w:rPr>
                      <w:rFonts w:ascii="Cambria Math" w:eastAsia="Malgun Gothic" w:hAnsi="Cambria Math"/>
                      <w:lang w:val="en-US"/>
                    </w:rPr>
                    <m:t>size,μ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lang w:val="en-US"/>
                    </w:rPr>
                    <m:t>RB</m:t>
                  </m:r>
                </m:e>
                <m:sub>
                  <m:r>
                    <w:rPr>
                      <w:rFonts w:ascii="Cambria Math" w:eastAsia="Malgun Gothic" w:hAnsi="Cambria Math"/>
                      <w:lang w:val="en-US"/>
                    </w:rPr>
                    <m:t xml:space="preserve"> s1,x</m:t>
                  </m:r>
                </m:sub>
                <m:sup>
                  <m:r>
                    <w:rPr>
                      <w:rFonts w:ascii="Cambria Math" w:eastAsia="Malgun Gothic" w:hAnsi="Cambria Math"/>
                      <w:lang w:val="en-US"/>
                    </w:rPr>
                    <m:t>end,μ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lang w:val="en-US"/>
                    </w:rPr>
                    <m:t>RB</m:t>
                  </m:r>
                </m:e>
                <m:sub>
                  <m:r>
                    <w:rPr>
                      <w:rFonts w:ascii="Cambria Math" w:eastAsia="Malgun Gothic" w:hAnsi="Cambria Math"/>
                      <w:lang w:val="en-US"/>
                    </w:rPr>
                    <m:t xml:space="preserve"> s0,x</m:t>
                  </m:r>
                </m:sub>
                <m:sup>
                  <m:r>
                    <w:rPr>
                      <w:rFonts w:ascii="Cambria Math" w:eastAsia="Malgun Gothic" w:hAnsi="Cambria Math"/>
                      <w:lang w:val="en-US"/>
                    </w:rPr>
                    <m:t>start,μ</m:t>
                  </m:r>
                </m:sup>
              </m:sSubSup>
              <m:r>
                <w:rPr>
                  <w:rFonts w:ascii="Cambria Math" w:eastAsia="Malgun Gothic" w:hAnsi="Cambria Math"/>
                </w:rPr>
                <m:t>+1</m:t>
              </m:r>
            </m:oMath>
            <w:r>
              <w:rPr>
                <w:color w:val="000000"/>
              </w:rPr>
              <w:t xml:space="preserve"> where </w:t>
            </w:r>
            <m:oMath>
              <m:r>
                <w:rPr>
                  <w:rFonts w:ascii="Cambria Math" w:hAnsi="Cambria Math"/>
                  <w:color w:val="000000"/>
                </w:rPr>
                <m:t>0≤s0≤s1≤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RB-set,x</m:t>
                  </m:r>
                </m:sub>
              </m:sSub>
              <m:r>
                <w:rPr>
                  <w:rFonts w:ascii="Cambria Math" w:hAnsi="Cambria Math"/>
                  <w:color w:val="000000"/>
                </w:rPr>
                <m:t>-1</m:t>
              </m:r>
            </m:oMath>
            <w:r>
              <w:rPr>
                <w:color w:val="000000"/>
              </w:rPr>
              <w:t xml:space="preserve">for </w:t>
            </w:r>
            <w:r>
              <w:rPr>
                <w:rFonts w:eastAsia="Malgun Gothic"/>
                <w:color w:val="000000"/>
              </w:rPr>
              <w:t xml:space="preserve">a BWP </w:t>
            </w:r>
            <w:r w:rsidRPr="0058589D">
              <w:rPr>
                <w:rFonts w:eastAsia="Malgun Gothic"/>
                <w:i/>
                <w:color w:val="000000"/>
              </w:rPr>
              <w:t>i</w:t>
            </w:r>
            <w:r>
              <w:rPr>
                <w:rFonts w:eastAsia="Malgun Gothic"/>
                <w:color w:val="000000"/>
              </w:rPr>
              <w:t xml:space="preserve"> configured by </w:t>
            </w:r>
            <w:r>
              <w:rPr>
                <w:rFonts w:eastAsia="Malgun Gothic"/>
                <w:i/>
                <w:color w:val="000000"/>
              </w:rPr>
              <w:t>BWP-Downlink</w:t>
            </w:r>
            <w:r>
              <w:rPr>
                <w:rFonts w:eastAsia="Malgun Gothic"/>
                <w:color w:val="000000"/>
              </w:rPr>
              <w:t xml:space="preserve"> or </w:t>
            </w:r>
            <w:r>
              <w:rPr>
                <w:rFonts w:eastAsia="Malgun Gothic"/>
                <w:i/>
                <w:color w:val="000000"/>
              </w:rPr>
              <w:t>BWP-Uplink</w:t>
            </w:r>
            <w:r>
              <w:rPr>
                <w:rFonts w:eastAsia="Malgun Gothic"/>
                <w:color w:val="000000"/>
              </w:rPr>
              <w:t>.</w:t>
            </w:r>
            <w:r>
              <w:rPr>
                <w:rFonts w:eastAsia="Malgun Gothic"/>
                <w:color w:val="000000"/>
                <w:lang w:val="en-US"/>
              </w:rPr>
              <w:t xml:space="preserve">  Within the BWP </w:t>
            </w:r>
            <w:r w:rsidRPr="0058589D">
              <w:rPr>
                <w:rFonts w:eastAsia="Malgun Gothic"/>
                <w:i/>
                <w:color w:val="000000"/>
                <w:lang w:val="en-US"/>
              </w:rPr>
              <w:t>i</w:t>
            </w:r>
            <w:r w:rsidRPr="00EF5FEF">
              <w:rPr>
                <w:rFonts w:eastAsia="Malgun Gothic"/>
                <w:color w:val="000000"/>
                <w:lang w:val="en-US"/>
              </w:rPr>
              <w:t>,</w:t>
            </w:r>
            <w:r>
              <w:rPr>
                <w:rFonts w:eastAsia="Malgun Gothic"/>
                <w:color w:val="000000"/>
                <w:lang w:val="en-US"/>
              </w:rPr>
              <w:t xml:space="preserve"> RB sets</w:t>
            </w:r>
            <w:r>
              <w:rPr>
                <w:rFonts w:eastAsia="Malgun Gothic"/>
                <w:color w:val="000000"/>
              </w:rPr>
              <w:t xml:space="preserve"> </w:t>
            </w:r>
            <w:r>
              <w:rPr>
                <w:rFonts w:eastAsia="Malgun Gothic"/>
                <w:color w:val="000000"/>
                <w:lang w:val="en-US"/>
              </w:rPr>
              <w:t xml:space="preserve">are numbered in increasing order from 0 to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r>
                <w:rPr>
                  <w:rFonts w:ascii="Cambria Math" w:hAnsi="Cambria Math"/>
                  <w:color w:val="000000"/>
                </w:rPr>
                <m:t>-1</m:t>
              </m:r>
            </m:oMath>
            <w:r>
              <w:rPr>
                <w:rFonts w:eastAsia="Malgun Gothic" w:hint="eastAsia"/>
                <w:color w:val="000000"/>
                <w:lang w:val="en-US" w:eastAsia="ko-KR"/>
              </w:rPr>
              <w:t xml:space="preserve"> where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oMath>
            <w:r>
              <w:rPr>
                <w:rFonts w:eastAsia="Malgun Gothic" w:hint="eastAsia"/>
                <w:color w:val="000000"/>
                <w:lang w:eastAsia="ko-KR"/>
              </w:rPr>
              <w:t xml:space="preserve"> </w:t>
            </w:r>
            <w:r>
              <w:rPr>
                <w:rFonts w:eastAsia="Malgun Gothic"/>
                <w:color w:val="000000"/>
                <w:lang w:eastAsia="ko-KR"/>
              </w:rPr>
              <w:t xml:space="preserve">is the number of RB sets contained in the BWP </w:t>
            </w:r>
            <w:r w:rsidRPr="0058589D">
              <w:rPr>
                <w:rFonts w:eastAsia="Malgun Gothic"/>
                <w:i/>
                <w:color w:val="000000"/>
                <w:lang w:eastAsia="ko-KR"/>
              </w:rPr>
              <w:t>i</w:t>
            </w:r>
            <w:r>
              <w:rPr>
                <w:rFonts w:eastAsia="Malgun Gothic"/>
                <w:color w:val="000000"/>
                <w:lang w:eastAsia="ko-KR"/>
              </w:rPr>
              <w:t xml:space="preserve"> and RB set 0 within the BWP </w:t>
            </w:r>
            <w:r w:rsidRPr="00EF5FEF">
              <w:rPr>
                <w:rFonts w:eastAsia="Malgun Gothic"/>
                <w:i/>
                <w:color w:val="000000"/>
                <w:lang w:eastAsia="ko-KR"/>
              </w:rPr>
              <w:t>i</w:t>
            </w:r>
            <w:r>
              <w:rPr>
                <w:rFonts w:eastAsia="Malgun Gothic"/>
                <w:color w:val="000000"/>
                <w:lang w:eastAsia="ko-KR"/>
              </w:rPr>
              <w:t xml:space="preserve"> corresponds to RB set</w:t>
            </w:r>
            <w:r>
              <w:rPr>
                <w:rFonts w:eastAsia="Malgun Gothic"/>
                <w:color w:val="000000"/>
                <w:lang w:val="en-US"/>
              </w:rPr>
              <w:t xml:space="preserve"> </w:t>
            </w:r>
            <m:oMath>
              <m:r>
                <w:rPr>
                  <w:rFonts w:ascii="Cambria Math" w:hAnsi="Cambria Math"/>
                  <w:color w:val="000000"/>
                </w:rPr>
                <m:t>s0</m:t>
              </m:r>
            </m:oMath>
            <w:r>
              <w:rPr>
                <w:rFonts w:eastAsia="Malgun Gothic"/>
                <w:color w:val="000000"/>
              </w:rPr>
              <w:t xml:space="preserve"> in the carrier and RB set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r>
                <m:rPr>
                  <m:sty m:val="p"/>
                </m:rPr>
                <w:rPr>
                  <w:rFonts w:ascii="Cambria Math" w:eastAsia="Malgun Gothic" w:hAnsi="Cambria Math"/>
                  <w:color w:val="000000"/>
                </w:rPr>
                <m:t>-1</m:t>
              </m:r>
            </m:oMath>
            <w:r>
              <w:rPr>
                <w:rFonts w:eastAsia="Malgun Gothic" w:hint="eastAsia"/>
                <w:color w:val="000000"/>
                <w:lang w:eastAsia="ko-KR"/>
              </w:rPr>
              <w:t xml:space="preserve"> </w:t>
            </w:r>
            <w:r>
              <w:rPr>
                <w:rFonts w:eastAsia="Malgun Gothic"/>
                <w:color w:val="000000"/>
                <w:lang w:eastAsia="ko-KR"/>
              </w:rPr>
              <w:t xml:space="preserve">within the BWP </w:t>
            </w:r>
            <w:r w:rsidRPr="00EF5FEF">
              <w:rPr>
                <w:rFonts w:eastAsia="Malgun Gothic"/>
                <w:i/>
                <w:color w:val="000000"/>
                <w:lang w:eastAsia="ko-KR"/>
              </w:rPr>
              <w:t>i</w:t>
            </w:r>
            <w:r>
              <w:rPr>
                <w:rFonts w:eastAsia="Malgun Gothic"/>
                <w:color w:val="000000"/>
                <w:lang w:eastAsia="ko-KR"/>
              </w:rPr>
              <w:t xml:space="preserve"> corresponds </w:t>
            </w:r>
            <w:r>
              <w:rPr>
                <w:rFonts w:eastAsia="Malgun Gothic"/>
                <w:color w:val="000000"/>
              </w:rPr>
              <w:t xml:space="preserve">to RB set </w:t>
            </w:r>
            <m:oMath>
              <m:r>
                <w:rPr>
                  <w:rFonts w:ascii="Cambria Math" w:hAnsi="Cambria Math"/>
                  <w:color w:val="000000"/>
                </w:rPr>
                <m:t>s1</m:t>
              </m:r>
            </m:oMath>
            <w:r>
              <w:rPr>
                <w:rFonts w:eastAsia="Malgun Gothic" w:hint="eastAsia"/>
                <w:color w:val="000000"/>
                <w:lang w:eastAsia="ko-KR"/>
              </w:rPr>
              <w:t xml:space="preserve"> in the carrier</w:t>
            </w:r>
            <w:r>
              <w:rPr>
                <w:rFonts w:eastAsia="Malgun Gothic"/>
                <w:color w:val="000000"/>
                <w:lang w:val="en-US"/>
              </w:rPr>
              <w:t>.</w:t>
            </w:r>
          </w:p>
          <w:p w14:paraId="365BC621" w14:textId="77777777" w:rsidR="00B87CE7" w:rsidRDefault="00B87CE7" w:rsidP="00B87CE7">
            <w:pPr>
              <w:jc w:val="center"/>
            </w:pPr>
            <w:r>
              <w:t>&lt;omitted text&gt;</w:t>
            </w:r>
          </w:p>
          <w:p w14:paraId="79CCAE23" w14:textId="77777777" w:rsidR="00B87CE7" w:rsidRDefault="00B87CE7" w:rsidP="00B87CE7">
            <w:pPr>
              <w:jc w:val="center"/>
            </w:pPr>
          </w:p>
          <w:p w14:paraId="579CB6F5" w14:textId="77777777" w:rsidR="00A9122A" w:rsidRDefault="00A9122A" w:rsidP="00BB6C5F"/>
        </w:tc>
      </w:tr>
    </w:tbl>
    <w:p w14:paraId="5DDE55B9" w14:textId="77777777" w:rsidR="00135949" w:rsidRPr="003B3014" w:rsidRDefault="00135949" w:rsidP="00BB6C5F">
      <w:pPr>
        <w:rPr>
          <w:b/>
          <w:bCs/>
        </w:rPr>
      </w:pPr>
    </w:p>
    <w:p w14:paraId="17B7B7FA" w14:textId="73230C9F" w:rsidR="00135949" w:rsidRDefault="00135949" w:rsidP="00135949">
      <w:pPr>
        <w:pStyle w:val="Heading2"/>
        <w:rPr>
          <w:lang w:val="en-US"/>
        </w:rPr>
      </w:pPr>
      <w:r>
        <w:rPr>
          <w:lang w:val="en-US"/>
        </w:rPr>
        <w:t>Carrier without</w:t>
      </w:r>
      <w:r w:rsidR="006C6685">
        <w:rPr>
          <w:lang w:val="en-US"/>
        </w:rPr>
        <w:t xml:space="preserve"> intra-cell</w:t>
      </w:r>
      <w:r>
        <w:rPr>
          <w:lang w:val="en-US"/>
        </w:rPr>
        <w:t xml:space="preserve"> </w:t>
      </w:r>
      <w:r w:rsidR="00571F56">
        <w:rPr>
          <w:lang w:val="en-US"/>
        </w:rPr>
        <w:t>GBs</w:t>
      </w:r>
    </w:p>
    <w:p w14:paraId="0DB65D47" w14:textId="71543A71" w:rsidR="00B87CE7" w:rsidRPr="00B87CE7" w:rsidRDefault="00B87CE7" w:rsidP="00B87CE7">
      <w:pPr>
        <w:rPr>
          <w:lang w:val="en-US"/>
        </w:rPr>
      </w:pPr>
      <w:r>
        <w:rPr>
          <w:lang w:val="en-US"/>
        </w:rPr>
        <w:t>In RAN1 meeting, details of carrier without GBs was agreed, for both DL and UL</w:t>
      </w:r>
    </w:p>
    <w:tbl>
      <w:tblPr>
        <w:tblStyle w:val="TableGrid"/>
        <w:tblW w:w="0" w:type="auto"/>
        <w:tblLook w:val="04A0" w:firstRow="1" w:lastRow="0" w:firstColumn="1" w:lastColumn="0" w:noHBand="0" w:noVBand="1"/>
      </w:tblPr>
      <w:tblGrid>
        <w:gridCol w:w="9629"/>
      </w:tblGrid>
      <w:tr w:rsidR="00A9122A" w14:paraId="40167B2E" w14:textId="77777777" w:rsidTr="00A9122A">
        <w:tc>
          <w:tcPr>
            <w:tcW w:w="9629" w:type="dxa"/>
          </w:tcPr>
          <w:p w14:paraId="736320F2" w14:textId="77777777" w:rsidR="00B87CE7" w:rsidRPr="002B6605" w:rsidRDefault="00B87CE7" w:rsidP="00B87CE7">
            <w:r w:rsidRPr="002B6605">
              <w:rPr>
                <w:highlight w:val="green"/>
              </w:rPr>
              <w:t>Agreement:</w:t>
            </w:r>
          </w:p>
          <w:p w14:paraId="3CF3E278" w14:textId="77777777" w:rsidR="00B87CE7" w:rsidRPr="002B6605" w:rsidRDefault="00B87CE7" w:rsidP="00B87CE7">
            <w:r w:rsidRPr="002B6605">
              <w:t>For a DL cell without intra-cell guard bands</w:t>
            </w:r>
          </w:p>
          <w:p w14:paraId="7343E77D" w14:textId="77777777" w:rsidR="00B87CE7" w:rsidRPr="002B6605" w:rsidRDefault="00B87CE7" w:rsidP="006C6685">
            <w:pPr>
              <w:pStyle w:val="ListParagraph"/>
              <w:numPr>
                <w:ilvl w:val="0"/>
                <w:numId w:val="10"/>
              </w:numPr>
              <w:contextualSpacing w:val="0"/>
              <w:rPr>
                <w:rFonts w:cs="Times"/>
                <w:sz w:val="20"/>
                <w:szCs w:val="20"/>
                <w:lang w:val="en-US"/>
              </w:rPr>
            </w:pPr>
            <w:r w:rsidRPr="002B6605">
              <w:rPr>
                <w:rFonts w:cs="Times"/>
                <w:sz w:val="20"/>
                <w:szCs w:val="20"/>
                <w:lang w:val="en-US"/>
              </w:rPr>
              <w:t>The bit-width of available RB-set indicator (if configured) in DCI format 2_0 is equal to 1</w:t>
            </w:r>
          </w:p>
          <w:p w14:paraId="0F1494B5" w14:textId="77777777" w:rsidR="00B87CE7" w:rsidRPr="002B6605" w:rsidRDefault="00B87CE7" w:rsidP="006C6685">
            <w:pPr>
              <w:pStyle w:val="ListParagraph"/>
              <w:numPr>
                <w:ilvl w:val="0"/>
                <w:numId w:val="10"/>
              </w:numPr>
              <w:contextualSpacing w:val="0"/>
              <w:rPr>
                <w:rFonts w:cs="Times"/>
                <w:sz w:val="20"/>
                <w:szCs w:val="20"/>
                <w:lang w:val="en-US"/>
              </w:rPr>
            </w:pPr>
            <w:r w:rsidRPr="002B6605">
              <w:rPr>
                <w:rFonts w:cs="Times"/>
                <w:sz w:val="20"/>
                <w:szCs w:val="20"/>
                <w:lang w:val="en-US"/>
              </w:rPr>
              <w:t xml:space="preserve">UE does not expect to be configured with search space with </w:t>
            </w:r>
            <w:r w:rsidRPr="002B6605">
              <w:rPr>
                <w:rFonts w:cs="Times"/>
                <w:i/>
                <w:iCs/>
                <w:sz w:val="20"/>
                <w:szCs w:val="20"/>
                <w:lang w:val="en-US"/>
              </w:rPr>
              <w:t>freqMonitorLocations-r16</w:t>
            </w:r>
          </w:p>
          <w:p w14:paraId="44F52A48" w14:textId="77777777" w:rsidR="00B87CE7" w:rsidRPr="00B87CE7" w:rsidRDefault="00B87CE7" w:rsidP="00A9122A">
            <w:pPr>
              <w:pStyle w:val="ListParagraph"/>
              <w:ind w:left="0"/>
              <w:rPr>
                <w:rFonts w:cs="Times"/>
                <w:sz w:val="20"/>
                <w:szCs w:val="16"/>
                <w:highlight w:val="green"/>
                <w:lang w:val="en-US"/>
              </w:rPr>
            </w:pPr>
          </w:p>
          <w:p w14:paraId="71FF1C56" w14:textId="77777777" w:rsidR="00B87CE7" w:rsidRPr="00B87CE7" w:rsidRDefault="00B87CE7" w:rsidP="00A9122A">
            <w:pPr>
              <w:pStyle w:val="ListParagraph"/>
              <w:ind w:left="0"/>
              <w:rPr>
                <w:rFonts w:cs="Times"/>
                <w:sz w:val="20"/>
                <w:szCs w:val="16"/>
                <w:highlight w:val="green"/>
                <w:lang w:val="en-US"/>
              </w:rPr>
            </w:pPr>
          </w:p>
          <w:p w14:paraId="4C5BAE2A" w14:textId="0C63F6C8" w:rsidR="00A9122A" w:rsidRPr="00D52B2B" w:rsidRDefault="00A9122A" w:rsidP="00A9122A">
            <w:pPr>
              <w:pStyle w:val="ListParagraph"/>
              <w:ind w:left="0"/>
              <w:rPr>
                <w:rFonts w:cs="Times"/>
                <w:sz w:val="20"/>
                <w:szCs w:val="16"/>
                <w:lang w:val="en-US"/>
              </w:rPr>
            </w:pPr>
            <w:r w:rsidRPr="00D52B2B">
              <w:rPr>
                <w:rFonts w:cs="Times"/>
                <w:sz w:val="20"/>
                <w:szCs w:val="16"/>
                <w:highlight w:val="green"/>
                <w:lang w:val="en-US"/>
              </w:rPr>
              <w:t>Agreement:</w:t>
            </w:r>
          </w:p>
          <w:p w14:paraId="74354CDC" w14:textId="77777777" w:rsidR="00A9122A" w:rsidRPr="00A9122A" w:rsidRDefault="00A9122A" w:rsidP="00A9122A">
            <w:pPr>
              <w:pStyle w:val="ListParagraph"/>
              <w:ind w:left="0"/>
              <w:rPr>
                <w:rFonts w:cs="Times"/>
                <w:sz w:val="20"/>
                <w:szCs w:val="16"/>
                <w:lang w:val="en-US"/>
              </w:rPr>
            </w:pPr>
            <w:r w:rsidRPr="00A9122A">
              <w:rPr>
                <w:rFonts w:cs="Times"/>
                <w:sz w:val="20"/>
                <w:szCs w:val="16"/>
                <w:lang w:val="en-US"/>
              </w:rPr>
              <w:t>To support UL bandwidth part wider than 20 MHz with no intra-cell guard band, UE can be configured with zero GBs by setting GB width to 0 when configuring intraCellGuardBandUL-r16 (e.g., such gNB creates 4 RB-sets in 80MHz UL carrier).</w:t>
            </w:r>
          </w:p>
          <w:p w14:paraId="3BD27854" w14:textId="77777777" w:rsidR="00A9122A" w:rsidRPr="00A9122A" w:rsidRDefault="00A9122A" w:rsidP="006C6685">
            <w:pPr>
              <w:pStyle w:val="ListParagraph"/>
              <w:numPr>
                <w:ilvl w:val="0"/>
                <w:numId w:val="8"/>
              </w:numPr>
              <w:contextualSpacing w:val="0"/>
              <w:rPr>
                <w:rFonts w:cs="Times"/>
                <w:sz w:val="20"/>
                <w:szCs w:val="16"/>
              </w:rPr>
            </w:pPr>
            <w:r w:rsidRPr="00A9122A">
              <w:rPr>
                <w:rFonts w:cs="Times"/>
                <w:sz w:val="20"/>
                <w:szCs w:val="16"/>
              </w:rPr>
              <w:t>Inform RAN2 of this agreement</w:t>
            </w:r>
          </w:p>
          <w:p w14:paraId="145EF148" w14:textId="77777777" w:rsidR="00A9122A" w:rsidRPr="002B6605" w:rsidRDefault="00A9122A" w:rsidP="00A9122A">
            <w:pPr>
              <w:rPr>
                <w:lang w:val="en-US" w:eastAsia="x-none"/>
              </w:rPr>
            </w:pPr>
          </w:p>
          <w:p w14:paraId="195B0491" w14:textId="77777777" w:rsidR="00A9122A" w:rsidRPr="002B6605" w:rsidRDefault="00A9122A" w:rsidP="00A9122A">
            <w:pPr>
              <w:wordWrap w:val="0"/>
              <w:rPr>
                <w:rFonts w:eastAsia="Malgun Gothic" w:cs="Times"/>
                <w:lang w:val="en-US" w:eastAsia="ko-KR"/>
              </w:rPr>
            </w:pPr>
            <w:r w:rsidRPr="002B6605">
              <w:rPr>
                <w:rFonts w:eastAsia="Malgun Gothic" w:cs="Times"/>
                <w:highlight w:val="green"/>
                <w:lang w:eastAsia="ko-KR"/>
              </w:rPr>
              <w:t>Agreement:</w:t>
            </w:r>
          </w:p>
          <w:p w14:paraId="53CAE4FF" w14:textId="77777777" w:rsidR="00A9122A" w:rsidRPr="002B6605" w:rsidRDefault="00A9122A" w:rsidP="00A9122A">
            <w:pPr>
              <w:rPr>
                <w:rFonts w:eastAsia="Gulim"/>
                <w:color w:val="000000"/>
                <w:lang w:eastAsia="ko-KR"/>
              </w:rPr>
            </w:pPr>
            <w:r w:rsidRPr="002B6605">
              <w:rPr>
                <w:color w:val="000000"/>
                <w:lang w:eastAsia="ko-KR"/>
              </w:rPr>
              <w:t xml:space="preserve">For an UL carrier without intra-cell guard bands when the parameter </w:t>
            </w:r>
            <w:r w:rsidRPr="002B6605">
              <w:rPr>
                <w:i/>
                <w:iCs/>
                <w:color w:val="000000"/>
                <w:lang w:eastAsia="ko-KR"/>
              </w:rPr>
              <w:t>useInterlacePUCCH-PUCCH</w:t>
            </w:r>
            <w:r w:rsidRPr="002B6605">
              <w:rPr>
                <w:color w:val="000000"/>
                <w:lang w:eastAsia="ko-KR"/>
              </w:rPr>
              <w:t xml:space="preserve"> is configured in any of </w:t>
            </w:r>
            <w:r w:rsidRPr="002B6605">
              <w:rPr>
                <w:i/>
                <w:iCs/>
                <w:color w:val="000000"/>
                <w:lang w:eastAsia="ko-KR"/>
              </w:rPr>
              <w:t>BWP-UplinkCommon</w:t>
            </w:r>
            <w:r w:rsidRPr="002B6605">
              <w:rPr>
                <w:color w:val="000000"/>
                <w:lang w:eastAsia="ko-KR"/>
              </w:rPr>
              <w:t xml:space="preserve"> and </w:t>
            </w:r>
            <w:r w:rsidRPr="002B6605">
              <w:rPr>
                <w:i/>
                <w:iCs/>
                <w:color w:val="000000"/>
                <w:lang w:eastAsia="ko-KR"/>
              </w:rPr>
              <w:t>BWP-UplinkDedicated</w:t>
            </w:r>
            <w:r w:rsidRPr="002B6605">
              <w:rPr>
                <w:color w:val="000000"/>
                <w:lang w:eastAsia="ko-KR"/>
              </w:rPr>
              <w:t>:</w:t>
            </w:r>
          </w:p>
          <w:p w14:paraId="29BFFEED" w14:textId="37833738" w:rsidR="00A9122A" w:rsidRPr="002B6605" w:rsidRDefault="00A9122A" w:rsidP="006C6685">
            <w:pPr>
              <w:numPr>
                <w:ilvl w:val="0"/>
                <w:numId w:val="9"/>
              </w:numPr>
              <w:overflowPunct/>
              <w:autoSpaceDE/>
              <w:autoSpaceDN/>
              <w:adjustRightInd/>
              <w:spacing w:before="100" w:beforeAutospacing="1" w:after="160" w:line="252" w:lineRule="auto"/>
              <w:contextualSpacing/>
              <w:textAlignment w:val="auto"/>
              <w:rPr>
                <w:color w:val="000000"/>
                <w:lang w:eastAsia="ko-KR"/>
              </w:rPr>
            </w:pPr>
            <w:r w:rsidRPr="002B6605">
              <w:rPr>
                <w:color w:val="000000"/>
                <w:lang w:eastAsia="ko-KR"/>
              </w:rPr>
              <w:t xml:space="preserve">The UL carrier can be configured with </w:t>
            </w:r>
            <w:r w:rsidRPr="007D6C8E">
              <w:rPr>
                <w:rFonts w:eastAsia="Malgun Gothic"/>
                <w:snapToGrid w:val="0"/>
                <w:color w:val="FF0000"/>
                <w:kern w:val="2"/>
                <w:position w:val="-14"/>
                <w:szCs w:val="22"/>
                <w:lang w:eastAsia="ko-KR"/>
              </w:rPr>
              <w:object w:dxaOrig="1260" w:dyaOrig="380" w14:anchorId="398064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35pt;height:19.4pt" o:ole="">
                  <v:imagedata r:id="rId13" o:title=""/>
                </v:shape>
                <o:OLEObject Type="Embed" ProgID="Equation.3" ShapeID="_x0000_i1025" DrawAspect="Content" ObjectID="_1651062684" r:id="rId14"/>
              </w:object>
            </w:r>
            <w:r w:rsidRPr="002B6605">
              <w:rPr>
                <w:color w:val="000000"/>
                <w:lang w:eastAsia="ko-KR"/>
              </w:rPr>
              <w:fldChar w:fldCharType="begin"/>
            </w:r>
            <w:r w:rsidRPr="002B6605">
              <w:rPr>
                <w:color w:val="000000"/>
                <w:lang w:eastAsia="ko-KR"/>
              </w:rPr>
              <w:instrText xml:space="preserve"> QUOTE </w:instrText>
            </w:r>
            <m:oMath>
              <m:sSub>
                <m:sSubPr>
                  <m:ctrlPr>
                    <w:rPr>
                      <w:rFonts w:ascii="Cambria Math" w:eastAsia="Gulim" w:hAnsi="Cambria Math" w:cs="Calibri"/>
                      <w:color w:val="000000"/>
                      <w:lang w:eastAsia="ko-KR"/>
                    </w:rPr>
                  </m:ctrlPr>
                </m:sSubPr>
                <m:e>
                  <m:r>
                    <m:rPr>
                      <m:sty m:val="p"/>
                    </m:rPr>
                    <w:rPr>
                      <w:rFonts w:ascii="Cambria Math" w:hAnsi="Cambria Math"/>
                      <w:color w:val="000000"/>
                      <w:lang w:eastAsia="ko-KR"/>
                    </w:rPr>
                    <m:t>N</m:t>
                  </m:r>
                </m:e>
                <m:sub>
                  <m:r>
                    <m:rPr>
                      <m:nor/>
                    </m:rPr>
                    <w:rPr>
                      <w:color w:val="000000"/>
                      <w:lang w:eastAsia="ko-KR"/>
                    </w:rPr>
                    <m:t>RB-set,UL</m:t>
                  </m:r>
                </m:sub>
              </m:sSub>
              <m:r>
                <m:rPr>
                  <m:sty m:val="p"/>
                </m:rPr>
                <w:rPr>
                  <w:rFonts w:ascii="Cambria Math" w:hAnsi="Cambria Math"/>
                  <w:color w:val="000000"/>
                  <w:lang w:eastAsia="ko-KR"/>
                </w:rPr>
                <m:t>≥1</m:t>
              </m:r>
            </m:oMath>
            <w:r w:rsidRPr="002B6605">
              <w:rPr>
                <w:color w:val="000000"/>
                <w:lang w:eastAsia="ko-KR"/>
              </w:rPr>
              <w:instrText xml:space="preserve"> </w:instrText>
            </w:r>
            <w:r w:rsidRPr="002B6605">
              <w:rPr>
                <w:color w:val="000000"/>
                <w:lang w:eastAsia="ko-KR"/>
              </w:rPr>
              <w:fldChar w:fldCharType="end"/>
            </w:r>
            <w:r w:rsidRPr="002B6605">
              <w:rPr>
                <w:color w:val="000000"/>
                <w:lang w:eastAsia="ko-KR"/>
              </w:rPr>
              <w:t>non-overlapping RB set(s)</w:t>
            </w:r>
          </w:p>
          <w:p w14:paraId="45A3A057" w14:textId="77777777" w:rsidR="00A9122A" w:rsidRPr="002B6605" w:rsidRDefault="00A9122A" w:rsidP="006C6685">
            <w:pPr>
              <w:numPr>
                <w:ilvl w:val="0"/>
                <w:numId w:val="9"/>
              </w:numPr>
              <w:overflowPunct/>
              <w:autoSpaceDE/>
              <w:autoSpaceDN/>
              <w:adjustRightInd/>
              <w:spacing w:before="100" w:beforeAutospacing="1" w:after="160" w:line="252" w:lineRule="auto"/>
              <w:contextualSpacing/>
              <w:textAlignment w:val="auto"/>
              <w:rPr>
                <w:color w:val="000000"/>
                <w:lang w:eastAsia="ko-KR"/>
              </w:rPr>
            </w:pPr>
            <w:r w:rsidRPr="002B6605">
              <w:rPr>
                <w:color w:val="000000"/>
                <w:lang w:eastAsia="ko-KR"/>
              </w:rPr>
              <w:t xml:space="preserve">For each RB set except for RB set 0, the starting CRB index is given by </w:t>
            </w:r>
            <w:r w:rsidRPr="002B6605">
              <w:rPr>
                <w:i/>
                <w:iCs/>
                <w:color w:val="000000"/>
                <w:lang w:eastAsia="ko-KR"/>
              </w:rPr>
              <w:t>startCRB-r16</w:t>
            </w:r>
          </w:p>
          <w:p w14:paraId="314B0611" w14:textId="5D5480BC" w:rsidR="00A9122A" w:rsidRPr="002B6605" w:rsidRDefault="00A9122A" w:rsidP="006C6685">
            <w:pPr>
              <w:numPr>
                <w:ilvl w:val="1"/>
                <w:numId w:val="9"/>
              </w:numPr>
              <w:overflowPunct/>
              <w:autoSpaceDE/>
              <w:autoSpaceDN/>
              <w:adjustRightInd/>
              <w:spacing w:before="100" w:beforeAutospacing="1" w:after="160" w:line="252" w:lineRule="auto"/>
              <w:contextualSpacing/>
              <w:textAlignment w:val="auto"/>
              <w:rPr>
                <w:color w:val="000000"/>
                <w:lang w:eastAsia="ko-KR"/>
              </w:rPr>
            </w:pPr>
            <w:r w:rsidRPr="002B6605">
              <w:rPr>
                <w:color w:val="000000"/>
                <w:lang w:eastAsia="ko-KR"/>
              </w:rPr>
              <w:lastRenderedPageBreak/>
              <w:t xml:space="preserve">For RB set 0, the starting CRB index is given by </w:t>
            </w:r>
            <w:r w:rsidRPr="007D6C8E">
              <w:rPr>
                <w:rFonts w:eastAsia="Malgun Gothic"/>
                <w:snapToGrid w:val="0"/>
                <w:color w:val="FF0000"/>
                <w:kern w:val="2"/>
                <w:position w:val="-14"/>
                <w:szCs w:val="22"/>
                <w:lang w:eastAsia="ko-KR"/>
              </w:rPr>
              <w:object w:dxaOrig="720" w:dyaOrig="400" w14:anchorId="2A769CD0">
                <v:shape id="_x0000_i1026" type="#_x0000_t75" style="width:35.05pt;height:20.05pt" o:ole="">
                  <v:imagedata r:id="rId15" o:title=""/>
                </v:shape>
                <o:OLEObject Type="Embed" ProgID="Equation.3" ShapeID="_x0000_i1026" DrawAspect="Content" ObjectID="_1651062685" r:id="rId16"/>
              </w:object>
            </w:r>
            <w:r w:rsidRPr="002B6605">
              <w:rPr>
                <w:color w:val="000000"/>
                <w:lang w:eastAsia="ko-KR"/>
              </w:rPr>
              <w:fldChar w:fldCharType="begin"/>
            </w:r>
            <w:r w:rsidRPr="002B6605">
              <w:rPr>
                <w:color w:val="000000"/>
                <w:lang w:eastAsia="ko-KR"/>
              </w:rPr>
              <w:instrText xml:space="preserve"> QUOTE </w:instrText>
            </w:r>
            <m:oMath>
              <m:sSubSup>
                <m:sSubSupPr>
                  <m:ctrlPr>
                    <w:rPr>
                      <w:rFonts w:ascii="Cambria Math" w:eastAsia="Gulim" w:hAnsi="Cambria Math" w:cs="Calibri"/>
                      <w:color w:val="000000"/>
                      <w:lang w:eastAsia="ko-KR"/>
                    </w:rPr>
                  </m:ctrlPr>
                </m:sSubSupPr>
                <m:e>
                  <m:r>
                    <m:rPr>
                      <m:sty m:val="p"/>
                    </m:rPr>
                    <w:rPr>
                      <w:rFonts w:ascii="Cambria Math" w:hAnsi="Cambria Math"/>
                      <w:color w:val="000000"/>
                      <w:lang w:eastAsia="ko-KR"/>
                    </w:rPr>
                    <m:t>N</m:t>
                  </m:r>
                </m:e>
                <m:sub>
                  <m:r>
                    <m:rPr>
                      <m:nor/>
                    </m:rPr>
                    <w:rPr>
                      <w:color w:val="000000"/>
                      <w:lang w:eastAsia="ko-KR"/>
                    </w:rPr>
                    <m:t>grid,UL</m:t>
                  </m:r>
                </m:sub>
                <m:sup>
                  <m:r>
                    <m:rPr>
                      <m:nor/>
                    </m:rPr>
                    <w:rPr>
                      <w:color w:val="000000"/>
                      <w:lang w:eastAsia="ko-KR"/>
                    </w:rPr>
                    <m:t>start</m:t>
                  </m:r>
                  <m:r>
                    <m:rPr>
                      <m:sty m:val="p"/>
                    </m:rPr>
                    <w:rPr>
                      <w:rFonts w:ascii="Cambria Math" w:hAnsi="Cambria Math"/>
                      <w:color w:val="000000"/>
                      <w:lang w:eastAsia="ko-KR"/>
                    </w:rPr>
                    <m:t>,μ</m:t>
                  </m:r>
                </m:sup>
              </m:sSubSup>
            </m:oMath>
            <w:r w:rsidRPr="002B6605">
              <w:rPr>
                <w:color w:val="000000"/>
                <w:lang w:eastAsia="ko-KR"/>
              </w:rPr>
              <w:instrText xml:space="preserve"> </w:instrText>
            </w:r>
            <w:r w:rsidRPr="002B6605">
              <w:rPr>
                <w:color w:val="000000"/>
                <w:lang w:eastAsia="ko-KR"/>
              </w:rPr>
              <w:fldChar w:fldCharType="end"/>
            </w:r>
          </w:p>
          <w:p w14:paraId="26349990" w14:textId="77777777" w:rsidR="00A9122A" w:rsidRPr="002B6605" w:rsidRDefault="00A9122A" w:rsidP="006C6685">
            <w:pPr>
              <w:numPr>
                <w:ilvl w:val="0"/>
                <w:numId w:val="9"/>
              </w:numPr>
              <w:overflowPunct/>
              <w:autoSpaceDE/>
              <w:autoSpaceDN/>
              <w:adjustRightInd/>
              <w:spacing w:before="100" w:beforeAutospacing="1" w:after="160" w:line="252" w:lineRule="auto"/>
              <w:contextualSpacing/>
              <w:textAlignment w:val="auto"/>
              <w:rPr>
                <w:lang w:eastAsia="ko-KR"/>
              </w:rPr>
            </w:pPr>
            <w:r w:rsidRPr="002B6605">
              <w:rPr>
                <w:color w:val="000000"/>
                <w:lang w:eastAsia="ko-KR"/>
              </w:rPr>
              <w:t xml:space="preserve">The UE expects </w:t>
            </w:r>
            <w:r w:rsidRPr="002B6605">
              <w:rPr>
                <w:i/>
                <w:iCs/>
                <w:color w:val="000000"/>
                <w:lang w:eastAsia="ko-KR"/>
              </w:rPr>
              <w:t>nrofCRBs-r16</w:t>
            </w:r>
            <w:r w:rsidRPr="002B6605">
              <w:rPr>
                <w:color w:val="000000"/>
                <w:lang w:eastAsia="ko-KR"/>
              </w:rPr>
              <w:t xml:space="preserve"> </w:t>
            </w:r>
            <w:r w:rsidRPr="002B6605">
              <w:rPr>
                <w:lang w:eastAsia="ko-KR"/>
              </w:rPr>
              <w:t>set to 0 for all GBs between two adjacent RB sets within the UL carrier.</w:t>
            </w:r>
          </w:p>
          <w:p w14:paraId="4AF3E58E" w14:textId="77777777" w:rsidR="00A9122A" w:rsidRPr="002B6605" w:rsidRDefault="00A9122A" w:rsidP="006C6685">
            <w:pPr>
              <w:numPr>
                <w:ilvl w:val="0"/>
                <w:numId w:val="9"/>
              </w:numPr>
              <w:overflowPunct/>
              <w:autoSpaceDE/>
              <w:autoSpaceDN/>
              <w:adjustRightInd/>
              <w:spacing w:before="100" w:beforeAutospacing="1" w:after="160" w:line="252" w:lineRule="auto"/>
              <w:contextualSpacing/>
              <w:textAlignment w:val="auto"/>
              <w:rPr>
                <w:lang w:eastAsia="ko-KR"/>
              </w:rPr>
            </w:pPr>
            <w:r w:rsidRPr="002B6605">
              <w:rPr>
                <w:lang w:eastAsia="ko-KR"/>
              </w:rPr>
              <w:t>The UE expects N RBs contained in each interlace of each RB set, wherein 10 &lt;= N &lt;= 11.</w:t>
            </w:r>
          </w:p>
          <w:p w14:paraId="09BA53ED" w14:textId="77777777" w:rsidR="00A9122A" w:rsidRPr="002B6605" w:rsidRDefault="00A9122A" w:rsidP="006C6685">
            <w:pPr>
              <w:numPr>
                <w:ilvl w:val="1"/>
                <w:numId w:val="9"/>
              </w:numPr>
              <w:overflowPunct/>
              <w:autoSpaceDE/>
              <w:autoSpaceDN/>
              <w:adjustRightInd/>
              <w:spacing w:before="100" w:beforeAutospacing="1" w:after="160" w:line="252" w:lineRule="auto"/>
              <w:contextualSpacing/>
              <w:textAlignment w:val="auto"/>
              <w:rPr>
                <w:lang w:eastAsia="ko-KR"/>
              </w:rPr>
            </w:pPr>
            <w:r w:rsidRPr="002B6605">
              <w:rPr>
                <w:lang w:eastAsia="ko-KR"/>
              </w:rPr>
              <w:t>For 30 kHz SCS, the number of RBs within any RB set is between 50 and 55, and for 15 kHz SCS, the number of RBs within any RB set is between 100 and 110</w:t>
            </w:r>
          </w:p>
          <w:p w14:paraId="4C326EAF" w14:textId="77777777" w:rsidR="00A9122A" w:rsidRPr="002B6605" w:rsidRDefault="00A9122A" w:rsidP="006C6685">
            <w:pPr>
              <w:numPr>
                <w:ilvl w:val="0"/>
                <w:numId w:val="9"/>
              </w:numPr>
              <w:overflowPunct/>
              <w:autoSpaceDE/>
              <w:autoSpaceDN/>
              <w:adjustRightInd/>
              <w:spacing w:before="100" w:beforeAutospacing="1" w:after="160" w:line="252" w:lineRule="auto"/>
              <w:contextualSpacing/>
              <w:textAlignment w:val="auto"/>
              <w:rPr>
                <w:lang w:eastAsia="ko-KR"/>
              </w:rPr>
            </w:pPr>
            <w:r w:rsidRPr="002B6605">
              <w:rPr>
                <w:lang w:eastAsia="ko-KR"/>
              </w:rPr>
              <w:t>Note: This configuration may be used for the case where transmission only occurs in a BWP if LBT is successful in all RB sets within the BWP (from RAN1#99 agreement)</w:t>
            </w:r>
          </w:p>
          <w:p w14:paraId="45CD0345" w14:textId="7684B6B5" w:rsidR="00A9122A" w:rsidRPr="002B6605" w:rsidRDefault="00A9122A" w:rsidP="006C6685">
            <w:pPr>
              <w:numPr>
                <w:ilvl w:val="0"/>
                <w:numId w:val="9"/>
              </w:numPr>
              <w:overflowPunct/>
              <w:autoSpaceDE/>
              <w:autoSpaceDN/>
              <w:adjustRightInd/>
              <w:spacing w:before="100" w:beforeAutospacing="1" w:after="0" w:line="252" w:lineRule="auto"/>
              <w:contextualSpacing/>
              <w:textAlignment w:val="auto"/>
              <w:rPr>
                <w:lang w:eastAsia="ko-KR"/>
              </w:rPr>
            </w:pPr>
            <w:r w:rsidRPr="002B6605">
              <w:rPr>
                <w:lang w:eastAsia="ko-KR"/>
              </w:rPr>
              <w:t>Note: It’s up to gNB’s configuration to fulfill RAN4 requirement with e.g., on maximum transmission bandwidth configuration, spectral emission mask, and so on.</w:t>
            </w:r>
          </w:p>
          <w:p w14:paraId="650343C8" w14:textId="77777777" w:rsidR="00A9122A" w:rsidRPr="002B6605" w:rsidRDefault="00A9122A" w:rsidP="006C6685">
            <w:pPr>
              <w:numPr>
                <w:ilvl w:val="0"/>
                <w:numId w:val="9"/>
              </w:numPr>
              <w:overflowPunct/>
              <w:autoSpaceDE/>
              <w:autoSpaceDN/>
              <w:adjustRightInd/>
              <w:spacing w:after="0" w:line="252" w:lineRule="auto"/>
              <w:textAlignment w:val="auto"/>
              <w:rPr>
                <w:lang w:eastAsia="ko-KR"/>
              </w:rPr>
            </w:pPr>
            <w:r w:rsidRPr="002B6605">
              <w:rPr>
                <w:lang w:eastAsia="ko-KR"/>
              </w:rPr>
              <w:t>Note: In order to reuse existing PUCCH/PUSCH resource allocation mechanisms, this proposal applies to all supported carrier bandwidths except 10 MHz</w:t>
            </w:r>
          </w:p>
          <w:p w14:paraId="494C4811" w14:textId="77777777" w:rsidR="00A9122A" w:rsidRPr="002B6605" w:rsidRDefault="00A9122A" w:rsidP="006C6685">
            <w:pPr>
              <w:numPr>
                <w:ilvl w:val="0"/>
                <w:numId w:val="9"/>
              </w:numPr>
              <w:overflowPunct/>
              <w:autoSpaceDE/>
              <w:autoSpaceDN/>
              <w:adjustRightInd/>
              <w:spacing w:after="0" w:line="252" w:lineRule="auto"/>
              <w:textAlignment w:val="auto"/>
              <w:rPr>
                <w:highlight w:val="yellow"/>
                <w:lang w:eastAsia="ko-KR"/>
              </w:rPr>
            </w:pPr>
            <w:r w:rsidRPr="002B6605">
              <w:rPr>
                <w:highlight w:val="yellow"/>
                <w:lang w:eastAsia="ko-KR"/>
              </w:rPr>
              <w:t>FFS: Whether BWP can be configured to be partially overlapping with a RB set</w:t>
            </w:r>
          </w:p>
          <w:p w14:paraId="1EFF3810" w14:textId="77777777" w:rsidR="00A9122A" w:rsidRDefault="00A9122A" w:rsidP="00BB6C5F">
            <w:pPr>
              <w:rPr>
                <w:lang w:val="en-US"/>
              </w:rPr>
            </w:pPr>
          </w:p>
        </w:tc>
      </w:tr>
    </w:tbl>
    <w:p w14:paraId="4A79D9C8" w14:textId="7EFDDF3C" w:rsidR="00135949" w:rsidRDefault="00135949" w:rsidP="00BB6C5F">
      <w:pPr>
        <w:rPr>
          <w:lang w:val="en-US"/>
        </w:rPr>
      </w:pPr>
    </w:p>
    <w:p w14:paraId="57E30859" w14:textId="2F63B51E" w:rsidR="00672B72" w:rsidRDefault="00B87CE7" w:rsidP="00BB6C5F">
      <w:pPr>
        <w:rPr>
          <w:lang w:val="en-US"/>
        </w:rPr>
      </w:pPr>
      <w:r>
        <w:rPr>
          <w:lang w:val="en-US"/>
        </w:rPr>
        <w:t>What re</w:t>
      </w:r>
      <w:r w:rsidR="00E13E69">
        <w:rPr>
          <w:lang w:val="en-US"/>
        </w:rPr>
        <w:t>mained open was whether RB</w:t>
      </w:r>
      <w:r w:rsidR="0020355E">
        <w:rPr>
          <w:lang w:val="en-US"/>
        </w:rPr>
        <w:t xml:space="preserve"> </w:t>
      </w:r>
      <w:r w:rsidR="00E13E69">
        <w:rPr>
          <w:lang w:val="en-US"/>
        </w:rPr>
        <w:t xml:space="preserve">set shall or shall not include all RBs of a RB-set. In our opinion, design should be the same as for carrier with GBs, i.e. BWP shall include all RBs of a RB-set, such the allocation of PUCCH and PUSCH may be reused. </w:t>
      </w:r>
    </w:p>
    <w:p w14:paraId="0F692833" w14:textId="7D7C32E9" w:rsidR="00672B72" w:rsidRDefault="00672B72" w:rsidP="00672B72">
      <w:pPr>
        <w:rPr>
          <w:rFonts w:eastAsia="Malgun Gothic"/>
          <w:color w:val="000000"/>
          <w:lang w:val="en-US"/>
        </w:rPr>
      </w:pPr>
      <w:r w:rsidRPr="00672B72">
        <w:rPr>
          <w:b/>
          <w:bCs/>
          <w:lang w:val="en-US"/>
        </w:rPr>
        <w:t>Proposa</w:t>
      </w:r>
      <w:r w:rsidR="002B6605">
        <w:rPr>
          <w:b/>
          <w:bCs/>
          <w:lang w:val="en-US"/>
        </w:rPr>
        <w:t>l 2</w:t>
      </w:r>
      <w:r w:rsidRPr="00672B72">
        <w:rPr>
          <w:b/>
          <w:bCs/>
          <w:lang w:val="en-US"/>
        </w:rPr>
        <w:t>:</w:t>
      </w:r>
      <w:r>
        <w:rPr>
          <w:lang w:val="en-US"/>
        </w:rPr>
        <w:t xml:space="preserve"> </w:t>
      </w:r>
      <w:r w:rsidRPr="002B6605">
        <w:rPr>
          <w:rFonts w:eastAsia="Malgun Gothic"/>
          <w:i/>
          <w:iCs/>
          <w:color w:val="000000"/>
        </w:rPr>
        <w:t xml:space="preserve">For a carrier </w:t>
      </w:r>
      <w:r w:rsidRPr="002B6605">
        <w:rPr>
          <w:rFonts w:eastAsia="Malgun Gothic"/>
          <w:i/>
          <w:iCs/>
          <w:color w:val="000000"/>
          <w:u w:val="single"/>
        </w:rPr>
        <w:t>without</w:t>
      </w:r>
      <w:r w:rsidRPr="002B6605">
        <w:rPr>
          <w:rFonts w:eastAsia="Malgun Gothic"/>
          <w:i/>
          <w:iCs/>
          <w:color w:val="000000"/>
        </w:rPr>
        <w:t xml:space="preserve"> intra-cell guard band(s), the UE </w:t>
      </w:r>
      <w:r w:rsidRPr="002B6605">
        <w:rPr>
          <w:i/>
          <w:iCs/>
          <w:color w:val="000000"/>
        </w:rPr>
        <w:t xml:space="preserve">expects </w:t>
      </w:r>
      <m:oMath>
        <m:r>
          <w:rPr>
            <w:rFonts w:ascii="Cambria Math" w:eastAsia="Malgun Gothic" w:hAnsi="Cambria Math"/>
            <w:lang w:val="en-US"/>
          </w:rPr>
          <m:t xml:space="preserve"> </m:t>
        </m:r>
        <m:sSubSup>
          <m:sSubSupPr>
            <m:ctrlPr>
              <w:rPr>
                <w:rFonts w:ascii="Cambria Math" w:eastAsia="Malgun Gothic" w:hAnsi="Cambria Math"/>
                <w:i/>
                <w:iCs/>
              </w:rPr>
            </m:ctrlPr>
          </m:sSubSupPr>
          <m:e>
            <m:r>
              <w:rPr>
                <w:rFonts w:ascii="Cambria Math" w:eastAsia="Malgun Gothic" w:hAnsi="Cambria Math"/>
                <w:lang w:val="en-US"/>
              </w:rPr>
              <m:t>N</m:t>
            </m:r>
          </m:e>
          <m:sub>
            <m:r>
              <w:rPr>
                <w:rFonts w:ascii="Cambria Math" w:eastAsia="Malgun Gothic" w:hAnsi="Cambria Math"/>
                <w:lang w:val="en-US"/>
              </w:rPr>
              <m:t xml:space="preserve"> BWP,i</m:t>
            </m:r>
          </m:sub>
          <m:sup>
            <m:r>
              <w:rPr>
                <w:rFonts w:ascii="Cambria Math" w:eastAsia="Malgun Gothic" w:hAnsi="Cambria Math"/>
                <w:lang w:val="en-US"/>
              </w:rPr>
              <m:t>start,μ</m:t>
            </m:r>
          </m:sup>
        </m:sSubSup>
        <m:r>
          <w:rPr>
            <w:rFonts w:ascii="Cambria Math" w:eastAsia="Malgun Gothic" w:hAnsi="Cambria Math"/>
          </w:rPr>
          <m:t>=</m:t>
        </m:r>
        <m:sSubSup>
          <m:sSubSupPr>
            <m:ctrlPr>
              <w:rPr>
                <w:rFonts w:ascii="Cambria Math" w:eastAsia="Malgun Gothic" w:hAnsi="Cambria Math"/>
                <w:i/>
                <w:iCs/>
              </w:rPr>
            </m:ctrlPr>
          </m:sSubSupPr>
          <m:e>
            <m:r>
              <w:rPr>
                <w:rFonts w:ascii="Cambria Math" w:eastAsia="Malgun Gothic" w:hAnsi="Cambria Math"/>
                <w:lang w:val="en-US"/>
              </w:rPr>
              <m:t>RB</m:t>
            </m:r>
          </m:e>
          <m:sub>
            <m:r>
              <w:rPr>
                <w:rFonts w:ascii="Cambria Math" w:eastAsia="Malgun Gothic" w:hAnsi="Cambria Math"/>
                <w:lang w:val="en-US"/>
              </w:rPr>
              <m:t xml:space="preserve"> s0,x</m:t>
            </m:r>
          </m:sub>
          <m:sup>
            <m:r>
              <w:rPr>
                <w:rFonts w:ascii="Cambria Math" w:eastAsia="Malgun Gothic" w:hAnsi="Cambria Math"/>
                <w:lang w:val="en-US"/>
              </w:rPr>
              <m:t>start,μ</m:t>
            </m:r>
          </m:sup>
        </m:sSubSup>
      </m:oMath>
      <w:r w:rsidRPr="002B6605">
        <w:rPr>
          <w:i/>
          <w:iCs/>
          <w:color w:val="000000"/>
        </w:rPr>
        <w:t xml:space="preserve">, and </w:t>
      </w:r>
      <m:oMath>
        <m:sSubSup>
          <m:sSubSupPr>
            <m:ctrlPr>
              <w:rPr>
                <w:rFonts w:ascii="Cambria Math" w:eastAsia="Malgun Gothic" w:hAnsi="Cambria Math"/>
                <w:i/>
                <w:iCs/>
              </w:rPr>
            </m:ctrlPr>
          </m:sSubSupPr>
          <m:e>
            <m:r>
              <w:rPr>
                <w:rFonts w:ascii="Cambria Math" w:eastAsia="Malgun Gothic" w:hAnsi="Cambria Math"/>
                <w:lang w:val="en-US"/>
              </w:rPr>
              <m:t>N</m:t>
            </m:r>
          </m:e>
          <m:sub>
            <m:r>
              <w:rPr>
                <w:rFonts w:ascii="Cambria Math" w:eastAsia="Malgun Gothic" w:hAnsi="Cambria Math"/>
                <w:lang w:val="en-US"/>
              </w:rPr>
              <m:t xml:space="preserve"> BWP,i</m:t>
            </m:r>
          </m:sub>
          <m:sup>
            <m:r>
              <w:rPr>
                <w:rFonts w:ascii="Cambria Math" w:eastAsia="Malgun Gothic" w:hAnsi="Cambria Math"/>
                <w:lang w:val="en-US"/>
              </w:rPr>
              <m:t>size,μ</m:t>
            </m:r>
          </m:sup>
        </m:sSubSup>
        <m:r>
          <w:rPr>
            <w:rFonts w:ascii="Cambria Math" w:eastAsia="Malgun Gothic" w:hAnsi="Cambria Math"/>
          </w:rPr>
          <m:t>=</m:t>
        </m:r>
        <m:sSubSup>
          <m:sSubSupPr>
            <m:ctrlPr>
              <w:rPr>
                <w:rFonts w:ascii="Cambria Math" w:eastAsia="Malgun Gothic" w:hAnsi="Cambria Math"/>
                <w:i/>
                <w:iCs/>
              </w:rPr>
            </m:ctrlPr>
          </m:sSubSupPr>
          <m:e>
            <m:r>
              <w:rPr>
                <w:rFonts w:ascii="Cambria Math" w:eastAsia="Malgun Gothic" w:hAnsi="Cambria Math"/>
                <w:lang w:val="en-US"/>
              </w:rPr>
              <m:t>RB</m:t>
            </m:r>
          </m:e>
          <m:sub>
            <m:r>
              <w:rPr>
                <w:rFonts w:ascii="Cambria Math" w:eastAsia="Malgun Gothic" w:hAnsi="Cambria Math"/>
                <w:lang w:val="en-US"/>
              </w:rPr>
              <m:t xml:space="preserve"> s1,x</m:t>
            </m:r>
          </m:sub>
          <m:sup>
            <m:r>
              <w:rPr>
                <w:rFonts w:ascii="Cambria Math" w:eastAsia="Malgun Gothic" w:hAnsi="Cambria Math"/>
                <w:lang w:val="en-US"/>
              </w:rPr>
              <m:t>end,μ</m:t>
            </m:r>
          </m:sup>
        </m:sSubSup>
        <m:r>
          <w:rPr>
            <w:rFonts w:ascii="Cambria Math" w:eastAsia="Malgun Gothic" w:hAnsi="Cambria Math"/>
          </w:rPr>
          <m:t>-</m:t>
        </m:r>
        <m:sSubSup>
          <m:sSubSupPr>
            <m:ctrlPr>
              <w:rPr>
                <w:rFonts w:ascii="Cambria Math" w:eastAsia="Malgun Gothic" w:hAnsi="Cambria Math"/>
                <w:i/>
                <w:iCs/>
              </w:rPr>
            </m:ctrlPr>
          </m:sSubSupPr>
          <m:e>
            <m:r>
              <w:rPr>
                <w:rFonts w:ascii="Cambria Math" w:eastAsia="Malgun Gothic" w:hAnsi="Cambria Math"/>
                <w:lang w:val="en-US"/>
              </w:rPr>
              <m:t>RB</m:t>
            </m:r>
          </m:e>
          <m:sub>
            <m:r>
              <w:rPr>
                <w:rFonts w:ascii="Cambria Math" w:eastAsia="Malgun Gothic" w:hAnsi="Cambria Math"/>
                <w:lang w:val="en-US"/>
              </w:rPr>
              <m:t xml:space="preserve"> s0,x</m:t>
            </m:r>
          </m:sub>
          <m:sup>
            <m:r>
              <w:rPr>
                <w:rFonts w:ascii="Cambria Math" w:eastAsia="Malgun Gothic" w:hAnsi="Cambria Math"/>
                <w:lang w:val="en-US"/>
              </w:rPr>
              <m:t>start,μ</m:t>
            </m:r>
          </m:sup>
        </m:sSubSup>
        <m:r>
          <w:rPr>
            <w:rFonts w:ascii="Cambria Math" w:eastAsia="Malgun Gothic" w:hAnsi="Cambria Math"/>
          </w:rPr>
          <m:t>+1</m:t>
        </m:r>
      </m:oMath>
      <w:r w:rsidRPr="002B6605">
        <w:rPr>
          <w:i/>
          <w:iCs/>
          <w:color w:val="000000"/>
        </w:rPr>
        <w:t xml:space="preserve"> where </w:t>
      </w:r>
      <m:oMath>
        <m:r>
          <w:rPr>
            <w:rFonts w:ascii="Cambria Math" w:hAnsi="Cambria Math"/>
            <w:color w:val="000000"/>
          </w:rPr>
          <m:t>0≤s0≤s1≤</m:t>
        </m:r>
        <m:sSub>
          <m:sSubPr>
            <m:ctrlPr>
              <w:rPr>
                <w:rFonts w:ascii="Cambria Math" w:hAnsi="Cambria Math"/>
                <w:i/>
                <w:iCs/>
                <w:color w:val="000000"/>
              </w:rPr>
            </m:ctrlPr>
          </m:sSubPr>
          <m:e>
            <m:r>
              <w:rPr>
                <w:rFonts w:ascii="Cambria Math" w:hAnsi="Cambria Math"/>
                <w:color w:val="000000"/>
              </w:rPr>
              <m:t>N</m:t>
            </m:r>
          </m:e>
          <m:sub>
            <m:r>
              <w:rPr>
                <w:rFonts w:ascii="Cambria Math" w:hAnsi="Cambria Math"/>
                <w:color w:val="000000"/>
              </w:rPr>
              <m:t>RB-set,x</m:t>
            </m:r>
          </m:sub>
        </m:sSub>
        <m:r>
          <w:rPr>
            <w:rFonts w:ascii="Cambria Math" w:hAnsi="Cambria Math"/>
            <w:color w:val="000000"/>
          </w:rPr>
          <m:t>-1</m:t>
        </m:r>
      </m:oMath>
      <w:r w:rsidR="00757276" w:rsidRPr="002B6605">
        <w:rPr>
          <w:i/>
          <w:iCs/>
          <w:color w:val="000000"/>
        </w:rPr>
        <w:t xml:space="preserve"> </w:t>
      </w:r>
      <w:r w:rsidRPr="002B6605">
        <w:rPr>
          <w:i/>
          <w:iCs/>
          <w:color w:val="000000"/>
        </w:rPr>
        <w:t xml:space="preserve">for </w:t>
      </w:r>
      <w:r w:rsidRPr="002B6605">
        <w:rPr>
          <w:rFonts w:eastAsia="Malgun Gothic"/>
          <w:i/>
          <w:iCs/>
          <w:color w:val="000000"/>
        </w:rPr>
        <w:t>a BWP i configured by BWP-Downlink or BWP-Uplink.</w:t>
      </w:r>
      <w:r w:rsidRPr="002B6605">
        <w:rPr>
          <w:rFonts w:eastAsia="Malgun Gothic"/>
          <w:i/>
          <w:iCs/>
          <w:color w:val="000000"/>
          <w:lang w:val="en-US"/>
        </w:rPr>
        <w:t xml:space="preserve">  Within the BWP i, RB sets</w:t>
      </w:r>
      <w:r w:rsidRPr="002B6605">
        <w:rPr>
          <w:rFonts w:eastAsia="Malgun Gothic"/>
          <w:i/>
          <w:iCs/>
          <w:color w:val="000000"/>
        </w:rPr>
        <w:t xml:space="preserve"> </w:t>
      </w:r>
      <w:r w:rsidRPr="002B6605">
        <w:rPr>
          <w:rFonts w:eastAsia="Malgun Gothic"/>
          <w:i/>
          <w:iCs/>
          <w:color w:val="000000"/>
          <w:lang w:val="en-US"/>
        </w:rPr>
        <w:t xml:space="preserve">are numbered in increasing order from 0 to </w:t>
      </w:r>
      <m:oMath>
        <m:sSubSup>
          <m:sSubSupPr>
            <m:ctrlPr>
              <w:rPr>
                <w:rFonts w:ascii="Cambria Math" w:hAnsi="Cambria Math"/>
                <w:i/>
                <w:iCs/>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r>
          <w:rPr>
            <w:rFonts w:ascii="Cambria Math" w:hAnsi="Cambria Math"/>
            <w:color w:val="000000"/>
          </w:rPr>
          <m:t>-1</m:t>
        </m:r>
      </m:oMath>
      <w:r w:rsidRPr="002B6605">
        <w:rPr>
          <w:rFonts w:eastAsia="Malgun Gothic" w:hint="eastAsia"/>
          <w:i/>
          <w:iCs/>
          <w:color w:val="000000"/>
          <w:lang w:val="en-US" w:eastAsia="ko-KR"/>
        </w:rPr>
        <w:t xml:space="preserve"> where </w:t>
      </w:r>
      <m:oMath>
        <m:sSubSup>
          <m:sSubSupPr>
            <m:ctrlPr>
              <w:rPr>
                <w:rFonts w:ascii="Cambria Math" w:hAnsi="Cambria Math"/>
                <w:i/>
                <w:iCs/>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oMath>
      <w:r w:rsidRPr="002B6605">
        <w:rPr>
          <w:rFonts w:eastAsia="Malgun Gothic" w:hint="eastAsia"/>
          <w:i/>
          <w:iCs/>
          <w:color w:val="000000"/>
          <w:lang w:eastAsia="ko-KR"/>
        </w:rPr>
        <w:t xml:space="preserve"> </w:t>
      </w:r>
      <w:r w:rsidRPr="002B6605">
        <w:rPr>
          <w:rFonts w:eastAsia="Malgun Gothic"/>
          <w:i/>
          <w:iCs/>
          <w:color w:val="000000"/>
          <w:lang w:eastAsia="ko-KR"/>
        </w:rPr>
        <w:t>is the number of RB sets contained in the BWP i and RB set 0 within the BWP i corresponds to RB set</w:t>
      </w:r>
      <w:r w:rsidRPr="002B6605">
        <w:rPr>
          <w:rFonts w:eastAsia="Malgun Gothic"/>
          <w:i/>
          <w:iCs/>
          <w:color w:val="000000"/>
          <w:lang w:val="en-US"/>
        </w:rPr>
        <w:t xml:space="preserve"> </w:t>
      </w:r>
      <m:oMath>
        <m:r>
          <w:rPr>
            <w:rFonts w:ascii="Cambria Math" w:hAnsi="Cambria Math"/>
            <w:color w:val="000000"/>
          </w:rPr>
          <m:t>s0</m:t>
        </m:r>
      </m:oMath>
      <w:r w:rsidRPr="002B6605">
        <w:rPr>
          <w:rFonts w:eastAsia="Malgun Gothic"/>
          <w:i/>
          <w:iCs/>
          <w:color w:val="000000"/>
        </w:rPr>
        <w:t xml:space="preserve"> in the carrier and RB set </w:t>
      </w:r>
      <m:oMath>
        <m:sSubSup>
          <m:sSubSupPr>
            <m:ctrlPr>
              <w:rPr>
                <w:rFonts w:ascii="Cambria Math" w:hAnsi="Cambria Math"/>
                <w:i/>
                <w:iCs/>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r>
          <w:rPr>
            <w:rFonts w:ascii="Cambria Math" w:eastAsia="Malgun Gothic" w:hAnsi="Cambria Math"/>
            <w:color w:val="000000"/>
          </w:rPr>
          <m:t>-1</m:t>
        </m:r>
      </m:oMath>
      <w:r w:rsidRPr="002B6605">
        <w:rPr>
          <w:rFonts w:eastAsia="Malgun Gothic" w:hint="eastAsia"/>
          <w:i/>
          <w:iCs/>
          <w:color w:val="000000"/>
          <w:lang w:eastAsia="ko-KR"/>
        </w:rPr>
        <w:t xml:space="preserve"> </w:t>
      </w:r>
      <w:r w:rsidRPr="002B6605">
        <w:rPr>
          <w:rFonts w:eastAsia="Malgun Gothic"/>
          <w:i/>
          <w:iCs/>
          <w:color w:val="000000"/>
          <w:lang w:eastAsia="ko-KR"/>
        </w:rPr>
        <w:t xml:space="preserve">within the BWP i corresponds </w:t>
      </w:r>
      <w:r w:rsidRPr="002B6605">
        <w:rPr>
          <w:rFonts w:eastAsia="Malgun Gothic"/>
          <w:i/>
          <w:iCs/>
          <w:color w:val="000000"/>
        </w:rPr>
        <w:t xml:space="preserve">to RB set </w:t>
      </w:r>
      <m:oMath>
        <m:r>
          <w:rPr>
            <w:rFonts w:ascii="Cambria Math" w:hAnsi="Cambria Math"/>
            <w:color w:val="000000"/>
          </w:rPr>
          <m:t>s1</m:t>
        </m:r>
      </m:oMath>
      <w:r w:rsidRPr="002B6605">
        <w:rPr>
          <w:rFonts w:eastAsia="Malgun Gothic" w:hint="eastAsia"/>
          <w:i/>
          <w:iCs/>
          <w:color w:val="000000"/>
          <w:lang w:eastAsia="ko-KR"/>
        </w:rPr>
        <w:t xml:space="preserve"> in the carrier</w:t>
      </w:r>
      <w:r w:rsidRPr="002B6605">
        <w:rPr>
          <w:rFonts w:eastAsia="Malgun Gothic"/>
          <w:i/>
          <w:iCs/>
          <w:color w:val="000000"/>
          <w:lang w:val="en-US"/>
        </w:rPr>
        <w:t>.</w:t>
      </w:r>
    </w:p>
    <w:p w14:paraId="1E706087" w14:textId="35FEAF40" w:rsidR="00E13E69" w:rsidRDefault="00D77E63" w:rsidP="00BB6C5F">
      <w:pPr>
        <w:rPr>
          <w:lang w:val="en-US"/>
        </w:rPr>
      </w:pPr>
      <w:r>
        <w:rPr>
          <w:lang w:val="en-US"/>
        </w:rPr>
        <w:t>To operate</w:t>
      </w:r>
      <w:r w:rsidR="00672B72">
        <w:rPr>
          <w:lang w:val="en-US"/>
        </w:rPr>
        <w:t xml:space="preserve"> a</w:t>
      </w:r>
      <w:r>
        <w:rPr>
          <w:lang w:val="en-US"/>
        </w:rPr>
        <w:t xml:space="preserve"> mix of UEs</w:t>
      </w:r>
      <w:r w:rsidR="00672B72">
        <w:rPr>
          <w:lang w:val="en-US"/>
        </w:rPr>
        <w:t xml:space="preserve"> with different BWP sizes is a corner case, because all UEs should support 80MHz BWP. However, even for that case </w:t>
      </w:r>
      <w:r>
        <w:rPr>
          <w:lang w:val="en-US"/>
        </w:rPr>
        <w:t>a gNB may configure either: (i) BWP</w:t>
      </w:r>
      <w:r w:rsidR="00672B72">
        <w:rPr>
          <w:lang w:val="en-US"/>
        </w:rPr>
        <w:t xml:space="preserve"> of non-nominal size</w:t>
      </w:r>
      <w:r>
        <w:rPr>
          <w:lang w:val="en-US"/>
        </w:rPr>
        <w:t xml:space="preserve"> matching the configured RB-sets of carrier configured by </w:t>
      </w:r>
      <w:r w:rsidRPr="00672B72">
        <w:rPr>
          <w:i/>
          <w:iCs/>
          <w:lang w:val="en-US"/>
        </w:rPr>
        <w:t>ServingCellConfigCommon</w:t>
      </w:r>
      <w:r>
        <w:rPr>
          <w:lang w:val="en-US"/>
        </w:rPr>
        <w:t xml:space="preserve"> or (i</w:t>
      </w:r>
      <w:r w:rsidR="00FB1462">
        <w:rPr>
          <w:lang w:val="en-US"/>
        </w:rPr>
        <w:t>i</w:t>
      </w:r>
      <w:r>
        <w:rPr>
          <w:lang w:val="en-US"/>
        </w:rPr>
        <w:t xml:space="preserve">) reconfigured UE with </w:t>
      </w:r>
      <w:r w:rsidR="00672B72">
        <w:rPr>
          <w:lang w:val="en-US"/>
        </w:rPr>
        <w:t xml:space="preserve">UE-specific carrier </w:t>
      </w:r>
      <w:r w:rsidR="00672B72" w:rsidRPr="00672B72">
        <w:rPr>
          <w:i/>
          <w:iCs/>
          <w:lang w:val="en-US"/>
        </w:rPr>
        <w:t>ServingCellConfig</w:t>
      </w:r>
      <w:r>
        <w:rPr>
          <w:lang w:val="en-US"/>
        </w:rPr>
        <w:t xml:space="preserve"> </w:t>
      </w:r>
      <w:r w:rsidR="00FB1462">
        <w:rPr>
          <w:lang w:val="en-US"/>
        </w:rPr>
        <w:t xml:space="preserve">where RB-set sum-up to nominal channel BWP. The specification is already sufficiently flexible to support UE-specific configuration of a carrier. </w:t>
      </w:r>
    </w:p>
    <w:p w14:paraId="24501E0E" w14:textId="77777777" w:rsidR="00FB1462" w:rsidRPr="00F537EB" w:rsidRDefault="00FB1462" w:rsidP="00FB1462">
      <w:pPr>
        <w:pStyle w:val="PL"/>
      </w:pPr>
      <w:r w:rsidRPr="00F537EB">
        <w:t>downlinkChannelBW-PerSCS-List       SEQUENCE (SIZE (1..maxSCSs)) OF SCS-SpecificCarrier                     OPTIONAL    -- Need S</w:t>
      </w:r>
    </w:p>
    <w:p w14:paraId="309DC73E" w14:textId="77777777" w:rsidR="00FB1462" w:rsidRPr="00F537EB" w:rsidRDefault="00FB1462" w:rsidP="00FB1462">
      <w:pPr>
        <w:pStyle w:val="PL"/>
      </w:pPr>
      <w:r w:rsidRPr="00F537EB">
        <w:t>uplinkChannelBW-PerSCS-List         SEQUENCE (SIZE (1..maxSCSs)) OF SCS-SpecificCarrier         OPTIONAL    -- Need S</w:t>
      </w:r>
    </w:p>
    <w:p w14:paraId="725FA05A" w14:textId="77777777" w:rsidR="00571F56" w:rsidRDefault="00571F56" w:rsidP="00BB6C5F">
      <w:pPr>
        <w:rPr>
          <w:lang w:val="en-US"/>
        </w:rPr>
      </w:pPr>
    </w:p>
    <w:p w14:paraId="41123F88" w14:textId="1590E2F5" w:rsidR="00FB1462" w:rsidRPr="00FB1462" w:rsidRDefault="00FB1462" w:rsidP="00BB6C5F">
      <w:pPr>
        <w:rPr>
          <w:lang w:val="en-US"/>
        </w:rPr>
      </w:pPr>
      <w:bookmarkStart w:id="2" w:name="_GoBack"/>
      <w:bookmarkEnd w:id="2"/>
      <w:r w:rsidRPr="00FB1462">
        <w:rPr>
          <w:lang w:val="en-US"/>
        </w:rPr>
        <w:t xml:space="preserve">RAN2, just </w:t>
      </w:r>
      <w:r>
        <w:rPr>
          <w:lang w:val="en-US"/>
        </w:rPr>
        <w:t xml:space="preserve">needs to add GB parameter </w:t>
      </w:r>
      <w:r w:rsidRPr="00FB1462">
        <w:rPr>
          <w:i/>
          <w:iCs/>
        </w:rPr>
        <w:t>IntraCellGuardBand-r16</w:t>
      </w:r>
      <w:r>
        <w:t xml:space="preserve"> also</w:t>
      </w:r>
      <w:r>
        <w:rPr>
          <w:lang w:val="en-US"/>
        </w:rPr>
        <w:t xml:space="preserve"> to ServingCellConfig. </w:t>
      </w:r>
    </w:p>
    <w:p w14:paraId="228F8EC7" w14:textId="76F30DB0" w:rsidR="00FB1462" w:rsidRPr="0020355E" w:rsidRDefault="00FB1462" w:rsidP="00BB6C5F">
      <w:pPr>
        <w:rPr>
          <w:i/>
          <w:iCs/>
          <w:lang w:val="en-US"/>
        </w:rPr>
      </w:pPr>
      <w:r>
        <w:rPr>
          <w:b/>
          <w:bCs/>
          <w:lang w:val="en-US"/>
        </w:rPr>
        <w:t>Proposal</w:t>
      </w:r>
      <w:r w:rsidR="0020355E">
        <w:rPr>
          <w:b/>
          <w:bCs/>
          <w:lang w:val="en-US"/>
        </w:rPr>
        <w:t xml:space="preserve"> </w:t>
      </w:r>
      <w:r w:rsidR="002B6605">
        <w:rPr>
          <w:b/>
          <w:bCs/>
          <w:lang w:val="en-US"/>
        </w:rPr>
        <w:t>3</w:t>
      </w:r>
      <w:r w:rsidRPr="00FB1462">
        <w:rPr>
          <w:b/>
          <w:bCs/>
          <w:lang w:val="en-US"/>
        </w:rPr>
        <w:t>:</w:t>
      </w:r>
      <w:r>
        <w:rPr>
          <w:lang w:val="en-US"/>
        </w:rPr>
        <w:t xml:space="preserve"> </w:t>
      </w:r>
      <w:r w:rsidRPr="0020355E">
        <w:rPr>
          <w:i/>
          <w:iCs/>
          <w:lang w:val="en-US"/>
        </w:rPr>
        <w:t xml:space="preserve">Send LS to kindly ask RAN2 to add </w:t>
      </w:r>
      <w:r w:rsidRPr="0020355E">
        <w:rPr>
          <w:i/>
          <w:iCs/>
        </w:rPr>
        <w:t>IntraCellGuardBand-r16 also</w:t>
      </w:r>
      <w:r w:rsidRPr="0020355E">
        <w:rPr>
          <w:i/>
          <w:iCs/>
          <w:lang w:val="en-US"/>
        </w:rPr>
        <w:t xml:space="preserve"> to ServingCellConfig.</w:t>
      </w:r>
    </w:p>
    <w:p w14:paraId="39244BE1" w14:textId="2CFB7B57" w:rsidR="00FB1462" w:rsidRDefault="00FB1462" w:rsidP="00BB6C5F">
      <w:pPr>
        <w:rPr>
          <w:lang w:val="en-US"/>
        </w:rPr>
      </w:pPr>
      <w:r>
        <w:rPr>
          <w:lang w:val="en-US"/>
        </w:rPr>
        <w:t xml:space="preserve">With respect to capturing agreement of carrier without GBs </w:t>
      </w:r>
      <w:r w:rsidR="00643606">
        <w:rPr>
          <w:lang w:val="en-US"/>
        </w:rPr>
        <w:t>we propose the following TP</w:t>
      </w:r>
    </w:p>
    <w:tbl>
      <w:tblPr>
        <w:tblStyle w:val="TableGrid"/>
        <w:tblW w:w="0" w:type="auto"/>
        <w:tblLook w:val="04A0" w:firstRow="1" w:lastRow="0" w:firstColumn="1" w:lastColumn="0" w:noHBand="0" w:noVBand="1"/>
      </w:tblPr>
      <w:tblGrid>
        <w:gridCol w:w="9629"/>
      </w:tblGrid>
      <w:tr w:rsidR="00643606" w14:paraId="5ED5D6DD" w14:textId="77777777" w:rsidTr="00643606">
        <w:tc>
          <w:tcPr>
            <w:tcW w:w="9629" w:type="dxa"/>
          </w:tcPr>
          <w:p w14:paraId="5ACB1C70" w14:textId="77777777" w:rsidR="00643606" w:rsidRDefault="00643606" w:rsidP="00643606">
            <w:pPr>
              <w:keepNext/>
              <w:keepLines/>
              <w:pBdr>
                <w:top w:val="single" w:sz="12" w:space="3" w:color="auto"/>
              </w:pBdr>
              <w:spacing w:before="240"/>
              <w:ind w:left="1134" w:hanging="1134"/>
              <w:outlineLvl w:val="0"/>
              <w:rPr>
                <w:rFonts w:ascii="Arial" w:eastAsia="Gulim" w:hAnsi="Arial"/>
                <w:sz w:val="36"/>
              </w:rPr>
            </w:pPr>
            <w:r>
              <w:rPr>
                <w:rFonts w:ascii="Arial" w:eastAsia="Gulim" w:hAnsi="Arial"/>
                <w:sz w:val="36"/>
              </w:rPr>
              <w:lastRenderedPageBreak/>
              <w:t>7</w:t>
            </w:r>
            <w:r>
              <w:rPr>
                <w:rFonts w:ascii="Arial" w:eastAsia="Gulim" w:hAnsi="Arial"/>
                <w:sz w:val="36"/>
              </w:rPr>
              <w:tab/>
              <w:t>UE procedures for transmitting and receiving on a carrier with intra-cell guard bands</w:t>
            </w:r>
          </w:p>
          <w:p w14:paraId="736993E6" w14:textId="475BBBC7" w:rsidR="0020355E" w:rsidRPr="0020355E" w:rsidRDefault="0020355E" w:rsidP="00D62FCD">
            <w:pPr>
              <w:rPr>
                <w:rFonts w:eastAsia="Malgun Gothic"/>
                <w:color w:val="FF0000"/>
                <w:lang w:val="en-US"/>
              </w:rPr>
            </w:pPr>
            <w:r w:rsidRPr="0020355E">
              <w:rPr>
                <w:rFonts w:eastAsia="Malgun Gothic"/>
                <w:color w:val="FF0000"/>
                <w:lang w:val="en-US"/>
              </w:rPr>
              <w:t>This sub-clause applies to carrier operating with shared spectrum channel access.</w:t>
            </w:r>
          </w:p>
          <w:p w14:paraId="30A46D1E" w14:textId="364671CC" w:rsidR="00D62FCD" w:rsidRPr="00D62FCD" w:rsidRDefault="00643606" w:rsidP="00D62FCD">
            <w:pPr>
              <w:rPr>
                <w:color w:val="FF0000"/>
              </w:rPr>
            </w:pPr>
            <w:r w:rsidRPr="0020355E">
              <w:rPr>
                <w:rFonts w:eastAsia="Malgun Gothic"/>
                <w:strike/>
                <w:color w:val="FF0000"/>
                <w:lang w:val="en-US"/>
              </w:rPr>
              <w:t>For operation with shared spectrum channel access, w</w:t>
            </w:r>
            <w:r w:rsidR="0020355E" w:rsidRPr="0020355E">
              <w:rPr>
                <w:rFonts w:eastAsia="Malgun Gothic"/>
                <w:color w:val="FF0000"/>
                <w:lang w:val="en-US"/>
              </w:rPr>
              <w:t>W</w:t>
            </w:r>
            <w:r>
              <w:rPr>
                <w:rFonts w:eastAsia="Malgun Gothic"/>
                <w:lang w:val="en-US"/>
              </w:rPr>
              <w:t xml:space="preserve">hen the UE is configured with any of </w:t>
            </w:r>
            <w:r>
              <w:rPr>
                <w:rFonts w:eastAsia="Malgun Gothic"/>
                <w:i/>
                <w:lang w:val="en-US"/>
              </w:rPr>
              <w:t xml:space="preserve">intraCellGuardBandUL-r16 </w:t>
            </w:r>
            <w:r>
              <w:rPr>
                <w:rFonts w:eastAsia="Malgun Gothic"/>
                <w:lang w:val="en-US"/>
              </w:rPr>
              <w:t xml:space="preserve">for UL carrier and </w:t>
            </w:r>
            <w:r>
              <w:rPr>
                <w:rFonts w:eastAsia="Malgun Gothic"/>
                <w:i/>
                <w:lang w:val="en-US"/>
              </w:rPr>
              <w:t xml:space="preserve">intraCellGuardBandDL-r16 </w:t>
            </w:r>
            <w:r>
              <w:rPr>
                <w:rFonts w:eastAsia="Malgun Gothic"/>
                <w:lang w:val="en-US"/>
              </w:rPr>
              <w:t>for DL carrier</w:t>
            </w:r>
            <w:r>
              <w:rPr>
                <w:rFonts w:eastAsia="Malgun Gothic"/>
                <w:lang w:val="en-CA"/>
              </w:rPr>
              <w:t xml:space="preserve">, the UE is provided with  </w:t>
            </w:r>
            <m:oMath>
              <m:sSub>
                <m:sSubPr>
                  <m:ctrlPr>
                    <w:rPr>
                      <w:rFonts w:ascii="Cambria Math" w:eastAsia="Malgun Gothic" w:hAnsi="Cambria Math"/>
                      <w:i/>
                    </w:rPr>
                  </m:ctrlPr>
                </m:sSubPr>
                <m:e>
                  <m:r>
                    <w:rPr>
                      <w:rFonts w:ascii="Cambria Math" w:eastAsia="Malgun Gothic" w:hAnsi="Cambria Math"/>
                      <w:lang w:val="en-US"/>
                    </w:rPr>
                    <m:t>N</m:t>
                  </m:r>
                </m:e>
                <m:sub>
                  <m:r>
                    <w:rPr>
                      <w:rFonts w:ascii="Cambria Math" w:eastAsia="Malgun Gothic" w:hAnsi="Cambria Math"/>
                      <w:lang w:val="en-US"/>
                    </w:rPr>
                    <m:t>RB-set,x</m:t>
                  </m:r>
                </m:sub>
              </m:sSub>
              <m:r>
                <w:rPr>
                  <w:rFonts w:ascii="Cambria Math" w:eastAsia="Malgun Gothic" w:hAnsi="Cambria Math"/>
                  <w:lang w:val="en-US"/>
                </w:rPr>
                <m:t xml:space="preserve">-1 </m:t>
              </m:r>
            </m:oMath>
            <w:r>
              <w:rPr>
                <w:rFonts w:eastAsia="Malgun Gothic"/>
                <w:lang w:val="en-US"/>
              </w:rPr>
              <w:t xml:space="preserve"> intra-cell guard bands on a carrier, each defined by start CRB and size in number of CRBs, </w:t>
            </w:r>
            <m:oMath>
              <m:r>
                <w:rPr>
                  <w:rFonts w:ascii="Cambria Math" w:eastAsia="Malgun Gothic" w:hAnsi="Cambria Math"/>
                  <w:lang w:val="en-US"/>
                </w:rPr>
                <m:t>G</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start,μ</m:t>
                  </m:r>
                </m:sup>
              </m:sSubSup>
              <m:r>
                <w:rPr>
                  <w:rFonts w:ascii="Cambria Math" w:eastAsia="Malgun Gothic" w:hAnsi="Cambria Math"/>
                  <w:lang w:val="en-US"/>
                </w:rPr>
                <m:t xml:space="preserve"> </m:t>
              </m:r>
            </m:oMath>
            <w:r>
              <w:rPr>
                <w:rFonts w:eastAsia="Malgun Gothic"/>
                <w:lang w:val="en-US"/>
              </w:rPr>
              <w:t xml:space="preserve"> and </w:t>
            </w:r>
            <m:oMath>
              <m:r>
                <w:rPr>
                  <w:rFonts w:ascii="Cambria Math" w:eastAsia="Malgun Gothic" w:hAnsi="Cambria Math"/>
                  <w:lang w:val="en-US"/>
                </w:rPr>
                <m:t>G</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size,μ</m:t>
                  </m:r>
                </m:sup>
              </m:sSubSup>
              <m:r>
                <w:rPr>
                  <w:rFonts w:ascii="Cambria Math" w:eastAsia="Malgun Gothic" w:hAnsi="Cambria Math"/>
                  <w:lang w:val="en-US"/>
                </w:rPr>
                <m:t xml:space="preserve"> </m:t>
              </m:r>
            </m:oMath>
            <w:r>
              <w:rPr>
                <w:rFonts w:eastAsia="Malgun Gothic"/>
                <w:lang w:val="en-US"/>
              </w:rPr>
              <w:t xml:space="preserve">, provided by higher layer parameters </w:t>
            </w:r>
            <w:r>
              <w:rPr>
                <w:rFonts w:eastAsia="Malgun Gothic"/>
                <w:i/>
                <w:lang w:val="en-US"/>
              </w:rPr>
              <w:t>startCRB-r16</w:t>
            </w:r>
            <w:r>
              <w:rPr>
                <w:rFonts w:eastAsia="Malgun Gothic"/>
                <w:lang w:val="en-US"/>
              </w:rPr>
              <w:t xml:space="preserve"> and </w:t>
            </w:r>
            <w:r>
              <w:rPr>
                <w:rFonts w:eastAsia="Malgun Gothic"/>
                <w:i/>
                <w:lang w:val="en-US"/>
              </w:rPr>
              <w:t>nrofCRBs-r16</w:t>
            </w:r>
            <w:r>
              <w:rPr>
                <w:rFonts w:eastAsia="Malgun Gothic"/>
                <w:lang w:val="en-US"/>
              </w:rPr>
              <w:t>, respectively.</w:t>
            </w:r>
            <w:r>
              <w:t xml:space="preserve"> </w:t>
            </w:r>
            <w:r w:rsidRPr="00233771">
              <w:rPr>
                <w:rFonts w:eastAsia="Malgun Gothic"/>
                <w:lang w:val="en-US"/>
              </w:rPr>
              <w:t xml:space="preserve">The subscript </w:t>
            </w:r>
            <w:r w:rsidRPr="00233771">
              <w:rPr>
                <w:rFonts w:eastAsia="Malgun Gothic"/>
                <w:i/>
                <w:lang w:val="en-US"/>
              </w:rPr>
              <w:t>x</w:t>
            </w:r>
            <w:r w:rsidRPr="00233771">
              <w:rPr>
                <w:rFonts w:eastAsia="Malgun Gothic"/>
                <w:lang w:val="en-US"/>
              </w:rPr>
              <w:t xml:space="preserve"> is set to DL and UL for the downlink and uplink, respectively. Where there is no risk of confusion, the subscript </w:t>
            </w:r>
            <w:r w:rsidRPr="00233771">
              <w:rPr>
                <w:rFonts w:eastAsia="Malgun Gothic"/>
                <w:i/>
                <w:lang w:val="en-US"/>
              </w:rPr>
              <w:t>x</w:t>
            </w:r>
            <w:r w:rsidRPr="00233771">
              <w:rPr>
                <w:rFonts w:eastAsia="Malgun Gothic"/>
                <w:lang w:val="en-US"/>
              </w:rPr>
              <w:t xml:space="preserve"> can be dropped.</w:t>
            </w:r>
            <w:r>
              <w:rPr>
                <w:rFonts w:eastAsia="Malgun Gothic"/>
                <w:lang w:val="en-US"/>
              </w:rPr>
              <w:t xml:space="preserve"> </w:t>
            </w:r>
            <w:r w:rsidR="00D62FCD" w:rsidRPr="00D62FCD">
              <w:rPr>
                <w:color w:val="FF0000"/>
              </w:rPr>
              <w:t xml:space="preserve">When UE is provided </w:t>
            </w:r>
            <w:r w:rsidR="00D62FCD" w:rsidRPr="00D62FCD">
              <w:rPr>
                <w:rFonts w:eastAsia="Malgun Gothic"/>
                <w:i/>
                <w:color w:val="FF0000"/>
                <w:lang w:val="en-US"/>
              </w:rPr>
              <w:t xml:space="preserve">nrofCRBs-r16=0, </w:t>
            </w:r>
            <w:r w:rsidR="00D62FCD" w:rsidRPr="00D62FCD">
              <w:rPr>
                <w:rFonts w:eastAsia="Malgun Gothic"/>
                <w:iCs/>
                <w:color w:val="FF0000"/>
                <w:lang w:val="en-US"/>
              </w:rPr>
              <w:t>carrier</w:t>
            </w:r>
            <w:r w:rsidR="0064087D">
              <w:rPr>
                <w:rFonts w:eastAsia="Malgun Gothic"/>
                <w:iCs/>
                <w:color w:val="FF0000"/>
                <w:lang w:val="en-US"/>
              </w:rPr>
              <w:t xml:space="preserve"> does not include intra-cell guard</w:t>
            </w:r>
            <w:r w:rsidR="00157FAC">
              <w:rPr>
                <w:rFonts w:eastAsia="Malgun Gothic"/>
                <w:iCs/>
                <w:color w:val="FF0000"/>
                <w:lang w:val="en-US"/>
              </w:rPr>
              <w:t xml:space="preserve"> </w:t>
            </w:r>
            <w:r w:rsidR="0064087D">
              <w:rPr>
                <w:rFonts w:eastAsia="Malgun Gothic"/>
                <w:iCs/>
                <w:color w:val="FF0000"/>
                <w:lang w:val="en-US"/>
              </w:rPr>
              <w:t>bands</w:t>
            </w:r>
            <w:r w:rsidR="00D62FCD" w:rsidRPr="00D62FCD">
              <w:rPr>
                <w:rFonts w:eastAsia="Malgun Gothic"/>
                <w:iCs/>
                <w:color w:val="FF0000"/>
                <w:lang w:val="en-US"/>
              </w:rPr>
              <w:t xml:space="preserve">. </w:t>
            </w:r>
          </w:p>
          <w:p w14:paraId="09128BBE" w14:textId="62CE771B" w:rsidR="00643606" w:rsidRPr="00597272" w:rsidRDefault="00643606" w:rsidP="00643606">
            <w:pPr>
              <w:rPr>
                <w:rFonts w:eastAsia="Malgun Gothic"/>
                <w:lang w:val="en-US"/>
              </w:rPr>
            </w:pPr>
            <w:r>
              <w:rPr>
                <w:rFonts w:eastAsia="Malgun Gothic"/>
                <w:lang w:val="en-US"/>
              </w:rPr>
              <w:t xml:space="preserve">The intra-cell guard bands separate </w:t>
            </w:r>
            <m:oMath>
              <m:sSub>
                <m:sSubPr>
                  <m:ctrlPr>
                    <w:rPr>
                      <w:rFonts w:ascii="Cambria Math" w:eastAsia="Malgun Gothic" w:hAnsi="Cambria Math"/>
                      <w:i/>
                    </w:rPr>
                  </m:ctrlPr>
                </m:sSubPr>
                <m:e>
                  <m:r>
                    <w:rPr>
                      <w:rFonts w:ascii="Cambria Math" w:eastAsia="Malgun Gothic" w:hAnsi="Cambria Math"/>
                      <w:lang w:val="en-US"/>
                    </w:rPr>
                    <m:t>N</m:t>
                  </m:r>
                </m:e>
                <m:sub>
                  <m:r>
                    <w:rPr>
                      <w:rFonts w:ascii="Cambria Math" w:eastAsia="Malgun Gothic" w:hAnsi="Cambria Math"/>
                      <w:lang w:val="en-US"/>
                    </w:rPr>
                    <m:t>RB-set,x</m:t>
                  </m:r>
                </m:sub>
              </m:sSub>
              <m:r>
                <w:rPr>
                  <w:rFonts w:ascii="Cambria Math" w:eastAsia="Malgun Gothic" w:hAnsi="Cambria Math"/>
                  <w:lang w:val="en-US"/>
                </w:rPr>
                <m:t xml:space="preserve"> </m:t>
              </m:r>
            </m:oMath>
            <w:r>
              <w:rPr>
                <w:rFonts w:eastAsia="Malgun Gothic"/>
                <w:lang w:val="en-US"/>
              </w:rPr>
              <w:t xml:space="preserve">RB sets, each defined by start and end CRB,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start,μ</m:t>
                  </m:r>
                </m:sup>
              </m:sSubSup>
              <m:r>
                <w:rPr>
                  <w:rFonts w:ascii="Cambria Math" w:eastAsia="Malgun Gothic" w:hAnsi="Cambria Math"/>
                  <w:lang w:val="en-US"/>
                </w:rPr>
                <m:t xml:space="preserve"> </m:t>
              </m:r>
            </m:oMath>
            <w:r>
              <w:rPr>
                <w:rFonts w:eastAsia="Malgun Gothic"/>
                <w:lang w:val="en-US"/>
              </w:rPr>
              <w:t xml:space="preserve">and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end,μ</m:t>
                  </m:r>
                </m:sup>
              </m:sSubSup>
            </m:oMath>
            <w:r>
              <w:rPr>
                <w:rFonts w:eastAsia="Malgun Gothic"/>
                <w:lang w:val="en-US"/>
              </w:rPr>
              <w:t xml:space="preserve">, respectively. UE determines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0,x</m:t>
                  </m:r>
                </m:sub>
                <m:sup>
                  <m:r>
                    <w:rPr>
                      <w:rFonts w:ascii="Cambria Math" w:eastAsia="Malgun Gothic" w:hAnsi="Cambria Math"/>
                      <w:lang w:val="en-US"/>
                    </w:rPr>
                    <m:t>start,μ</m:t>
                  </m:r>
                </m:sup>
              </m:sSubSup>
              <m:r>
                <w:rPr>
                  <w:rFonts w:ascii="Cambria Math" w:eastAsia="Malgun Gothic" w:hAnsi="Cambria Math"/>
                  <w:lang w:val="en-US"/>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grid,x</m:t>
                  </m:r>
                </m:sub>
                <m:sup>
                  <m:r>
                    <m:rPr>
                      <m:nor/>
                    </m:rPr>
                    <w:rPr>
                      <w:rFonts w:ascii="Cambria Math" w:eastAsia="Malgun Gothic" w:hAnsi="Cambria Math"/>
                    </w:rPr>
                    <m:t>start</m:t>
                  </m:r>
                  <m:r>
                    <w:rPr>
                      <w:rFonts w:ascii="Cambria Math" w:eastAsia="Malgun Gothic" w:hAnsi="Cambria Math"/>
                    </w:rPr>
                    <m:t>,μ</m:t>
                  </m:r>
                </m:sup>
              </m:sSubSup>
            </m:oMath>
            <w:r>
              <w:rPr>
                <w:rFonts w:eastAsia="Malgun Gothic"/>
              </w:rPr>
              <w:t xml:space="preserve">,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sSub>
                    <m:sSubPr>
                      <m:ctrlPr>
                        <w:rPr>
                          <w:rFonts w:ascii="Cambria Math" w:eastAsia="Malgun Gothic" w:hAnsi="Cambria Math"/>
                          <w:i/>
                        </w:rPr>
                      </m:ctrlPr>
                    </m:sSubPr>
                    <m:e>
                      <m:r>
                        <w:rPr>
                          <w:rFonts w:ascii="Cambria Math" w:eastAsia="Malgun Gothic" w:hAnsi="Cambria Math"/>
                          <w:lang w:val="en-US"/>
                        </w:rPr>
                        <m:t>N</m:t>
                      </m:r>
                    </m:e>
                    <m:sub>
                      <m:r>
                        <w:rPr>
                          <w:rFonts w:ascii="Cambria Math" w:eastAsia="Malgun Gothic" w:hAnsi="Cambria Math"/>
                          <w:lang w:val="en-US"/>
                        </w:rPr>
                        <m:t>RB-set</m:t>
                      </m:r>
                    </m:sub>
                  </m:sSub>
                  <m:r>
                    <w:rPr>
                      <w:rFonts w:ascii="Cambria Math" w:eastAsia="Malgun Gothic" w:hAnsi="Cambria Math"/>
                      <w:lang w:val="en-US"/>
                    </w:rPr>
                    <m:t>-1,x</m:t>
                  </m:r>
                </m:sub>
                <m:sup>
                  <m:r>
                    <w:rPr>
                      <w:rFonts w:ascii="Cambria Math" w:eastAsia="Malgun Gothic" w:hAnsi="Cambria Math"/>
                      <w:lang w:val="en-US"/>
                    </w:rPr>
                    <m:t>end,μ</m:t>
                  </m:r>
                </m:sup>
              </m:sSubSup>
              <m:r>
                <w:rPr>
                  <w:rFonts w:ascii="Cambria Math" w:eastAsia="Malgun Gothic" w:hAnsi="Cambria Math"/>
                  <w:lang w:val="en-US"/>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grid,x</m:t>
                  </m:r>
                </m:sub>
                <m:sup>
                  <m:r>
                    <m:rPr>
                      <m:nor/>
                    </m:rPr>
                    <w:rPr>
                      <w:rFonts w:ascii="Cambria Math" w:eastAsia="Malgun Gothic" w:hAnsi="Cambria Math"/>
                    </w:rPr>
                    <m:t>start</m:t>
                  </m:r>
                  <m:r>
                    <w:rPr>
                      <w:rFonts w:ascii="Cambria Math" w:eastAsia="Malgun Gothic" w:hAnsi="Cambria Math"/>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grid,x</m:t>
                  </m:r>
                </m:sub>
                <m:sup>
                  <m:r>
                    <m:rPr>
                      <m:nor/>
                    </m:rPr>
                    <w:rPr>
                      <w:rFonts w:ascii="Cambria Math" w:eastAsia="Malgun Gothic" w:hAnsi="Cambria Math"/>
                    </w:rPr>
                    <m:t>size</m:t>
                  </m:r>
                  <m:r>
                    <w:rPr>
                      <w:rFonts w:ascii="Cambria Math" w:eastAsia="Malgun Gothic" w:hAnsi="Cambria Math"/>
                    </w:rPr>
                    <m:t>,μ</m:t>
                  </m:r>
                </m:sup>
              </m:sSubSup>
              <m:r>
                <w:rPr>
                  <w:rFonts w:ascii="Cambria Math" w:eastAsia="Malgun Gothic" w:hAnsi="Cambria Math"/>
                </w:rPr>
                <m:t>-1</m:t>
              </m:r>
            </m:oMath>
            <w:r>
              <w:rPr>
                <w:rFonts w:eastAsia="Malgun Gothic"/>
                <w:lang w:val="en-US"/>
              </w:rPr>
              <w:t xml:space="preserve">, and the remaining start and end CRBs as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end,μ</m:t>
                  </m:r>
                </m:sup>
              </m:sSubSup>
              <m:r>
                <w:rPr>
                  <w:rFonts w:ascii="Cambria Math" w:eastAsia="Malgun Gothic" w:hAnsi="Cambria Math"/>
                  <w:lang w:val="en-US"/>
                </w:rPr>
                <m:t>=G</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start,μ</m:t>
                  </m:r>
                </m:sup>
              </m:sSubSup>
              <m:r>
                <w:rPr>
                  <w:rFonts w:ascii="Cambria Math" w:eastAsia="Malgun Gothic" w:hAnsi="Cambria Math"/>
                  <w:lang w:val="en-US"/>
                </w:rPr>
                <m:t>-1</m:t>
              </m:r>
            </m:oMath>
            <w:r>
              <w:rPr>
                <w:rFonts w:eastAsia="Malgun Gothic"/>
                <w:lang w:val="en-US"/>
              </w:rPr>
              <w:t xml:space="preserve"> and </w:t>
            </w:r>
            <m:oMath>
              <m:sSubSup>
                <m:sSubSupPr>
                  <m:ctrlPr>
                    <w:rPr>
                      <w:rFonts w:ascii="Cambria Math" w:eastAsia="Malgun Gothic" w:hAnsi="Cambria Math"/>
                      <w:i/>
                    </w:rPr>
                  </m:ctrlPr>
                </m:sSubSupPr>
                <m:e>
                  <m:r>
                    <w:rPr>
                      <w:rFonts w:ascii="Cambria Math" w:eastAsia="Malgun Gothic" w:hAnsi="Cambria Math"/>
                      <w:lang w:val="en-US"/>
                    </w:rPr>
                    <m:t>RB</m:t>
                  </m:r>
                </m:e>
                <m:sub>
                  <m:r>
                    <w:rPr>
                      <w:rFonts w:ascii="Cambria Math" w:eastAsia="Malgun Gothic" w:hAnsi="Cambria Math"/>
                      <w:lang w:val="en-US"/>
                    </w:rPr>
                    <m:t xml:space="preserve"> s+1,x</m:t>
                  </m:r>
                </m:sub>
                <m:sup>
                  <m:r>
                    <w:rPr>
                      <w:rFonts w:ascii="Cambria Math" w:eastAsia="Malgun Gothic" w:hAnsi="Cambria Math"/>
                      <w:lang w:val="en-US"/>
                    </w:rPr>
                    <m:t>start,μ</m:t>
                  </m:r>
                </m:sup>
              </m:sSubSup>
              <m:r>
                <w:rPr>
                  <w:rFonts w:ascii="Cambria Math" w:eastAsia="Malgun Gothic" w:hAnsi="Cambria Math"/>
                  <w:lang w:val="en-US"/>
                </w:rPr>
                <m:t>=G</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start,μ</m:t>
                  </m:r>
                </m:sup>
              </m:sSubSup>
              <m:r>
                <w:rPr>
                  <w:rFonts w:ascii="Cambria Math" w:eastAsia="Malgun Gothic" w:hAnsi="Cambria Math"/>
                  <w:lang w:val="en-US"/>
                </w:rPr>
                <m:t>+G</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size,μ</m:t>
                  </m:r>
                </m:sup>
              </m:sSubSup>
            </m:oMath>
            <w:r>
              <w:rPr>
                <w:rFonts w:eastAsia="Malgun Gothic"/>
                <w:lang w:val="en-US"/>
              </w:rPr>
              <w:t xml:space="preserve">. The RB set </w:t>
            </w:r>
            <w:r w:rsidRPr="00BA62EC">
              <w:rPr>
                <w:rFonts w:eastAsia="Malgun Gothic"/>
                <w:i/>
                <w:lang w:val="en-US"/>
              </w:rPr>
              <w:t>s</w:t>
            </w:r>
            <w:r>
              <w:rPr>
                <w:rFonts w:eastAsia="Malgun Gothic"/>
                <w:lang w:val="en-US"/>
              </w:rPr>
              <w:t xml:space="preserve"> consists of </w:t>
            </w:r>
            <m:oMath>
              <m:r>
                <w:rPr>
                  <w:rFonts w:ascii="Cambria Math" w:eastAsia="Malgun Gothic" w:hAnsi="Cambria Math"/>
                  <w:lang w:val="en-US"/>
                </w:rPr>
                <m:t xml:space="preserve"> 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s,x</m:t>
                  </m:r>
                </m:sub>
                <m:sup>
                  <m:r>
                    <w:rPr>
                      <w:rFonts w:ascii="Cambria Math" w:eastAsia="Malgun Gothic" w:hAnsi="Cambria Math"/>
                      <w:lang w:val="en-US"/>
                    </w:rPr>
                    <m:t>size,μ</m:t>
                  </m:r>
                </m:sup>
              </m:sSubSup>
            </m:oMath>
            <w:r>
              <w:rPr>
                <w:rFonts w:eastAsia="Malgun Gothic" w:hint="eastAsia"/>
                <w:lang w:eastAsia="ko-KR"/>
              </w:rPr>
              <w:t xml:space="preserve"> resource blocks</w:t>
            </w:r>
            <w:r>
              <w:rPr>
                <w:rFonts w:eastAsia="Malgun Gothic"/>
                <w:lang w:eastAsia="ko-KR"/>
              </w:rPr>
              <w:t xml:space="preserve"> where </w:t>
            </w:r>
            <m:oMath>
              <m:r>
                <w:rPr>
                  <w:rFonts w:ascii="Cambria Math" w:eastAsia="Malgun Gothic" w:hAnsi="Cambria Math"/>
                  <w:lang w:val="en-US"/>
                </w:rPr>
                <m:t xml:space="preserve"> 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s,x</m:t>
                  </m:r>
                </m:sub>
                <m:sup>
                  <m:r>
                    <w:rPr>
                      <w:rFonts w:ascii="Cambria Math" w:eastAsia="Malgun Gothic" w:hAnsi="Cambria Math"/>
                      <w:lang w:val="en-US"/>
                    </w:rPr>
                    <m:t>size,μ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end,μ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start,μ</m:t>
                  </m:r>
                </m:sup>
              </m:sSubSup>
              <m:r>
                <w:rPr>
                  <w:rFonts w:ascii="Cambria Math" w:eastAsia="Malgun Gothic" w:hAnsi="Cambria Math"/>
                </w:rPr>
                <m:t>+1</m:t>
              </m:r>
            </m:oMath>
            <w:r>
              <w:rPr>
                <w:rFonts w:eastAsia="Malgun Gothic" w:hint="eastAsia"/>
                <w:lang w:eastAsia="ko-KR"/>
              </w:rPr>
              <w:t xml:space="preserve">. </w:t>
            </w:r>
            <w:r>
              <w:rPr>
                <w:rFonts w:eastAsia="Malgun Gothic"/>
                <w:lang w:val="en-US"/>
              </w:rPr>
              <w:t xml:space="preserve">When the UE is not configured with </w:t>
            </w:r>
            <w:r>
              <w:rPr>
                <w:rFonts w:eastAsia="Malgun Gothic"/>
                <w:i/>
                <w:lang w:val="en-US"/>
              </w:rPr>
              <w:t xml:space="preserve">intraCellGuardBandUL-r16, </w:t>
            </w:r>
            <w:r>
              <w:rPr>
                <w:rFonts w:eastAsia="Malgun Gothic"/>
                <w:lang w:val="en-US"/>
              </w:rPr>
              <w:t xml:space="preserve">the UE determines intra-cell guard band and corresponding RB set according to the default intra-cell GB pattern from [8, TS 38.101-1] corresponding to </w:t>
            </w:r>
            <m:oMath>
              <m:r>
                <w:rPr>
                  <w:rFonts w:ascii="Cambria Math" w:eastAsia="Malgun Gothic" w:hAnsi="Cambria Math"/>
                  <w:lang w:val="en-US"/>
                </w:rPr>
                <m:t>μ</m:t>
              </m:r>
            </m:oMath>
            <w:r>
              <w:rPr>
                <w:rFonts w:eastAsia="Malgun Gothic"/>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grid,x</m:t>
                  </m:r>
                </m:sub>
                <m:sup>
                  <m:r>
                    <m:rPr>
                      <m:nor/>
                    </m:rPr>
                    <w:rPr>
                      <w:rFonts w:ascii="Cambria Math" w:eastAsia="Malgun Gothic" w:hAnsi="Cambria Math"/>
                    </w:rPr>
                    <m:t>size</m:t>
                  </m:r>
                  <m:r>
                    <w:rPr>
                      <w:rFonts w:ascii="Cambria Math" w:eastAsia="Malgun Gothic" w:hAnsi="Cambria Math"/>
                    </w:rPr>
                    <m:t>,μ</m:t>
                  </m:r>
                </m:sup>
              </m:sSubSup>
            </m:oMath>
            <w:r>
              <w:rPr>
                <w:rFonts w:eastAsia="Malgun Gothic"/>
                <w:lang w:val="en-US"/>
              </w:rPr>
              <w:t xml:space="preserve">. When the UE is not configured with </w:t>
            </w:r>
            <w:r>
              <w:rPr>
                <w:rFonts w:eastAsia="Malgun Gothic"/>
                <w:i/>
                <w:lang w:val="en-US"/>
              </w:rPr>
              <w:t xml:space="preserve">intraCellGuardBandDL-r16, </w:t>
            </w:r>
            <w:r>
              <w:rPr>
                <w:rFonts w:eastAsia="Malgun Gothic"/>
                <w:lang w:val="en-US"/>
              </w:rPr>
              <w:t xml:space="preserve">the UE determines intra-cell guard band and corresponding RB set according to the [default intra-cell GB pattern from [8, TS 38.101-1] corresponding to </w:t>
            </w:r>
            <m:oMath>
              <m:r>
                <w:rPr>
                  <w:rFonts w:ascii="Cambria Math" w:eastAsia="Malgun Gothic" w:hAnsi="Cambria Math"/>
                  <w:lang w:val="en-US"/>
                </w:rPr>
                <m:t>μ</m:t>
              </m:r>
            </m:oMath>
            <w:r>
              <w:rPr>
                <w:rFonts w:eastAsia="Malgun Gothic"/>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grid,x</m:t>
                  </m:r>
                </m:sub>
                <m:sup>
                  <m:r>
                    <m:rPr>
                      <m:nor/>
                    </m:rPr>
                    <w:rPr>
                      <w:rFonts w:ascii="Cambria Math" w:eastAsia="Malgun Gothic" w:hAnsi="Cambria Math"/>
                    </w:rPr>
                    <m:t>size</m:t>
                  </m:r>
                  <m:r>
                    <w:rPr>
                      <w:rFonts w:ascii="Cambria Math" w:eastAsia="Malgun Gothic" w:hAnsi="Cambria Math"/>
                    </w:rPr>
                    <m:t>,μ</m:t>
                  </m:r>
                </m:sup>
              </m:sSubSup>
            </m:oMath>
            <w:r>
              <w:rPr>
                <w:rFonts w:eastAsia="Malgun Gothic"/>
                <w:lang w:val="en-US"/>
              </w:rPr>
              <w:t xml:space="preserve">. </w:t>
            </w:r>
            <w:r w:rsidR="00D62FCD" w:rsidRPr="00D62FCD">
              <w:rPr>
                <w:color w:val="FF0000"/>
              </w:rPr>
              <w:t xml:space="preserve">When UE is provided </w:t>
            </w:r>
            <w:r w:rsidR="00D62FCD" w:rsidRPr="00D62FCD">
              <w:rPr>
                <w:rFonts w:eastAsia="Malgun Gothic"/>
                <w:i/>
                <w:color w:val="FF0000"/>
                <w:lang w:val="en-US"/>
              </w:rPr>
              <w:t>nrofCRBs-r16=0</w:t>
            </w:r>
            <w:r w:rsidR="0020355E">
              <w:rPr>
                <w:rFonts w:eastAsia="Malgun Gothic"/>
                <w:i/>
                <w:color w:val="FF0000"/>
                <w:lang w:val="en-US"/>
              </w:rPr>
              <w:t xml:space="preserve"> </w:t>
            </w:r>
            <w:r w:rsidR="0020355E" w:rsidRPr="0020355E">
              <w:rPr>
                <w:rFonts w:eastAsia="Malgun Gothic"/>
                <w:iCs/>
                <w:color w:val="FF0000"/>
                <w:lang w:val="en-US"/>
              </w:rPr>
              <w:t>in</w:t>
            </w:r>
            <w:r w:rsidR="0020355E">
              <w:rPr>
                <w:rFonts w:eastAsia="Malgun Gothic"/>
                <w:i/>
                <w:color w:val="FF0000"/>
                <w:lang w:val="en-US"/>
              </w:rPr>
              <w:t xml:space="preserve"> </w:t>
            </w:r>
            <w:r w:rsidR="0020355E" w:rsidRPr="0020355E">
              <w:rPr>
                <w:rFonts w:eastAsia="Malgun Gothic"/>
                <w:i/>
                <w:color w:val="FF0000"/>
                <w:lang w:val="en-US"/>
              </w:rPr>
              <w:t>intraCellGuardBandUL-r16</w:t>
            </w:r>
            <w:r w:rsidR="00D62FCD">
              <w:rPr>
                <w:rFonts w:eastAsia="Malgun Gothic"/>
                <w:i/>
                <w:color w:val="FF0000"/>
                <w:lang w:val="en-US"/>
              </w:rPr>
              <w:t xml:space="preserve">, </w:t>
            </w:r>
            <w:r w:rsidR="00D62FCD" w:rsidRPr="00D62FCD">
              <w:rPr>
                <w:rFonts w:eastAsia="Malgun Gothic"/>
                <w:iCs/>
                <w:color w:val="FF0000"/>
                <w:lang w:val="en-US"/>
              </w:rPr>
              <w:t xml:space="preserve">UE </w:t>
            </w:r>
            <w:r w:rsidR="00D62FCD">
              <w:rPr>
                <w:rFonts w:eastAsia="Malgun Gothic"/>
                <w:iCs/>
                <w:color w:val="FF0000"/>
                <w:lang w:val="en-US"/>
              </w:rPr>
              <w:t>expect</w:t>
            </w:r>
            <w:r w:rsidR="0064087D">
              <w:rPr>
                <w:rFonts w:eastAsia="Malgun Gothic"/>
                <w:iCs/>
                <w:color w:val="FF0000"/>
                <w:lang w:val="en-US"/>
              </w:rPr>
              <w:t xml:space="preserve">s </w:t>
            </w:r>
            <w:r w:rsidR="00D62FCD">
              <w:rPr>
                <w:rFonts w:eastAsia="Malgun Gothic"/>
                <w:iCs/>
                <w:color w:val="FF0000"/>
                <w:lang w:val="en-US"/>
              </w:rPr>
              <w:t>RB</w:t>
            </w:r>
            <w:r w:rsidR="0064087D">
              <w:rPr>
                <w:rFonts w:eastAsia="Malgun Gothic"/>
                <w:iCs/>
                <w:color w:val="FF0000"/>
                <w:lang w:val="en-US"/>
              </w:rPr>
              <w:t xml:space="preserve"> </w:t>
            </w:r>
            <w:r w:rsidR="00D62FCD">
              <w:rPr>
                <w:rFonts w:eastAsia="Malgun Gothic"/>
                <w:iCs/>
                <w:color w:val="FF0000"/>
                <w:lang w:val="en-US"/>
              </w:rPr>
              <w:t>s</w:t>
            </w:r>
            <w:r w:rsidR="0064087D">
              <w:rPr>
                <w:rFonts w:eastAsia="Malgun Gothic"/>
                <w:iCs/>
                <w:color w:val="FF0000"/>
                <w:lang w:val="en-US"/>
              </w:rPr>
              <w:t xml:space="preserve">et to include 10 or 11 RBs for each interlace index </w:t>
            </w:r>
            <w:r w:rsidR="0064087D" w:rsidRPr="0064087D">
              <w:rPr>
                <w:rFonts w:eastAsia="Malgun Gothic"/>
                <w:iCs/>
                <w:color w:val="FF0000"/>
                <w:lang w:val="en-US"/>
              </w:rPr>
              <w:t xml:space="preserve">defined in </w:t>
            </w:r>
            <w:r w:rsidR="0064087D" w:rsidRPr="0064087D">
              <w:rPr>
                <w:color w:val="FF0000"/>
              </w:rPr>
              <w:t>Clause 4.4.4.6 in [4, TS 38.211]</w:t>
            </w:r>
            <w:r w:rsidR="0064087D">
              <w:rPr>
                <w:color w:val="000000" w:themeColor="text1"/>
              </w:rPr>
              <w:t>.</w:t>
            </w:r>
            <w:r w:rsidR="00F11C64">
              <w:rPr>
                <w:color w:val="000000" w:themeColor="text1"/>
              </w:rPr>
              <w:t xml:space="preserve"> </w:t>
            </w:r>
            <w:r w:rsidR="00F11C64" w:rsidRPr="00D62FCD">
              <w:rPr>
                <w:color w:val="FF0000"/>
              </w:rPr>
              <w:t xml:space="preserve">When UE is provided </w:t>
            </w:r>
            <w:r w:rsidR="00F11C64" w:rsidRPr="00D62FCD">
              <w:rPr>
                <w:rFonts w:eastAsia="Malgun Gothic"/>
                <w:i/>
                <w:color w:val="FF0000"/>
                <w:lang w:val="en-US"/>
              </w:rPr>
              <w:t>nrofCRBs-r16=0</w:t>
            </w:r>
            <w:r w:rsidR="00F11C64">
              <w:rPr>
                <w:rFonts w:eastAsia="Malgun Gothic"/>
                <w:i/>
                <w:color w:val="FF0000"/>
                <w:lang w:val="en-US"/>
              </w:rPr>
              <w:t xml:space="preserve"> </w:t>
            </w:r>
            <w:r w:rsidR="00F11C64" w:rsidRPr="0020355E">
              <w:rPr>
                <w:rFonts w:eastAsia="Malgun Gothic"/>
                <w:iCs/>
                <w:color w:val="FF0000"/>
                <w:lang w:val="en-US"/>
              </w:rPr>
              <w:t>in</w:t>
            </w:r>
            <w:r w:rsidR="00F11C64">
              <w:rPr>
                <w:rFonts w:eastAsia="Malgun Gothic"/>
                <w:i/>
                <w:color w:val="FF0000"/>
                <w:lang w:val="en-US"/>
              </w:rPr>
              <w:t xml:space="preserve"> </w:t>
            </w:r>
            <w:r w:rsidR="00F11C64" w:rsidRPr="0020355E">
              <w:rPr>
                <w:rFonts w:eastAsia="Malgun Gothic"/>
                <w:i/>
                <w:color w:val="FF0000"/>
                <w:lang w:val="en-US"/>
              </w:rPr>
              <w:t>intraCellGuardBand</w:t>
            </w:r>
            <w:r w:rsidR="00F11C64">
              <w:rPr>
                <w:rFonts w:eastAsia="Malgun Gothic"/>
                <w:i/>
                <w:color w:val="FF0000"/>
                <w:lang w:val="en-US"/>
              </w:rPr>
              <w:t>DL</w:t>
            </w:r>
            <w:r w:rsidR="00F11C64" w:rsidRPr="0020355E">
              <w:rPr>
                <w:rFonts w:eastAsia="Malgun Gothic"/>
                <w:i/>
                <w:color w:val="FF0000"/>
                <w:lang w:val="en-US"/>
              </w:rPr>
              <w:t>-r16</w:t>
            </w:r>
            <w:r w:rsidR="00F11C64">
              <w:rPr>
                <w:rFonts w:eastAsia="Malgun Gothic"/>
                <w:i/>
                <w:color w:val="FF0000"/>
                <w:lang w:val="en-US"/>
              </w:rPr>
              <w:t xml:space="preserve">, </w:t>
            </w:r>
            <w:r w:rsidR="00F11C64" w:rsidRPr="00F11C64">
              <w:rPr>
                <w:rFonts w:eastAsia="Malgun Gothic"/>
                <w:iCs/>
                <w:color w:val="FF0000"/>
                <w:lang w:val="en-US"/>
              </w:rPr>
              <w:t>there are no RB sets</w:t>
            </w:r>
            <w:r w:rsidR="00F11C64">
              <w:rPr>
                <w:rFonts w:eastAsia="Malgun Gothic"/>
                <w:iCs/>
                <w:color w:val="FF0000"/>
                <w:lang w:val="en-US"/>
              </w:rPr>
              <w:t xml:space="preserve"> present</w:t>
            </w:r>
            <w:r w:rsidR="00F11C64" w:rsidRPr="00F11C64">
              <w:rPr>
                <w:rFonts w:eastAsia="Malgun Gothic"/>
                <w:iCs/>
                <w:color w:val="FF0000"/>
                <w:lang w:val="en-US"/>
              </w:rPr>
              <w:t xml:space="preserve"> </w:t>
            </w:r>
            <w:r w:rsidR="00F11C64">
              <w:rPr>
                <w:rFonts w:eastAsia="Malgun Gothic"/>
                <w:iCs/>
                <w:color w:val="FF0000"/>
                <w:lang w:val="en-US"/>
              </w:rPr>
              <w:t>on the carrier</w:t>
            </w:r>
            <w:r w:rsidR="00B47A84">
              <w:rPr>
                <w:rFonts w:eastAsia="Malgun Gothic"/>
                <w:iCs/>
                <w:color w:val="FF0000"/>
                <w:lang w:val="en-US"/>
              </w:rPr>
              <w:t>.</w:t>
            </w:r>
          </w:p>
          <w:p w14:paraId="2787A475" w14:textId="24F7AAF3" w:rsidR="00643606" w:rsidRDefault="00643606" w:rsidP="00643606">
            <w:pPr>
              <w:jc w:val="both"/>
              <w:rPr>
                <w:rFonts w:eastAsia="Malgun Gothic"/>
                <w:color w:val="000000"/>
                <w:lang w:val="en-US"/>
              </w:rPr>
            </w:pPr>
            <w:r>
              <w:rPr>
                <w:rFonts w:eastAsia="Malgun Gothic"/>
                <w:color w:val="000000"/>
              </w:rPr>
              <w:t xml:space="preserve">For a carrier </w:t>
            </w:r>
            <w:r w:rsidRPr="0020355E">
              <w:rPr>
                <w:rFonts w:eastAsia="Malgun Gothic"/>
                <w:strike/>
                <w:color w:val="FF0000"/>
              </w:rPr>
              <w:t>with intra-cell guard band(s)</w:t>
            </w:r>
            <w:r>
              <w:rPr>
                <w:rFonts w:eastAsia="Malgun Gothic"/>
                <w:color w:val="000000"/>
              </w:rPr>
              <w:t xml:space="preserve">, the UE </w:t>
            </w:r>
            <w:r>
              <w:rPr>
                <w:color w:val="000000"/>
              </w:rPr>
              <w:t xml:space="preserve">expects </w:t>
            </w:r>
            <m:oMath>
              <m:r>
                <w:rPr>
                  <w:rFonts w:ascii="Cambria Math" w:eastAsia="Malgun Gothic" w:hAnsi="Cambria Math"/>
                  <w:lang w:val="en-US"/>
                </w:rPr>
                <m:t xml:space="preserve"> </m:t>
              </m:r>
              <m:sSubSup>
                <m:sSubSupPr>
                  <m:ctrlPr>
                    <w:rPr>
                      <w:rFonts w:ascii="Cambria Math" w:eastAsia="Malgun Gothic" w:hAnsi="Cambria Math"/>
                      <w:i/>
                    </w:rPr>
                  </m:ctrlPr>
                </m:sSubSupPr>
                <m:e>
                  <m:r>
                    <w:rPr>
                      <w:rFonts w:ascii="Cambria Math" w:eastAsia="Malgun Gothic" w:hAnsi="Cambria Math"/>
                      <w:lang w:val="en-US"/>
                    </w:rPr>
                    <m:t>N</m:t>
                  </m:r>
                </m:e>
                <m:sub>
                  <m:r>
                    <w:rPr>
                      <w:rFonts w:ascii="Cambria Math" w:eastAsia="Malgun Gothic" w:hAnsi="Cambria Math"/>
                      <w:lang w:val="en-US"/>
                    </w:rPr>
                    <m:t xml:space="preserve"> BWP,i</m:t>
                  </m:r>
                </m:sub>
                <m:sup>
                  <m:r>
                    <w:rPr>
                      <w:rFonts w:ascii="Cambria Math" w:eastAsia="Malgun Gothic" w:hAnsi="Cambria Math"/>
                      <w:lang w:val="en-US"/>
                    </w:rPr>
                    <m:t>start,μ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lang w:val="en-US"/>
                    </w:rPr>
                    <m:t>RB</m:t>
                  </m:r>
                </m:e>
                <m:sub>
                  <m:r>
                    <w:rPr>
                      <w:rFonts w:ascii="Cambria Math" w:eastAsia="Malgun Gothic" w:hAnsi="Cambria Math"/>
                      <w:lang w:val="en-US"/>
                    </w:rPr>
                    <m:t xml:space="preserve"> s0,x</m:t>
                  </m:r>
                </m:sub>
                <m:sup>
                  <m:r>
                    <w:rPr>
                      <w:rFonts w:ascii="Cambria Math" w:eastAsia="Malgun Gothic" w:hAnsi="Cambria Math"/>
                      <w:lang w:val="en-US"/>
                    </w:rPr>
                    <m:t>start,μ</m:t>
                  </m:r>
                </m:sup>
              </m:sSubSup>
            </m:oMath>
            <w:r>
              <w:rPr>
                <w:color w:val="000000"/>
              </w:rPr>
              <w:t xml:space="preserve">, and </w:t>
            </w:r>
            <m:oMath>
              <m:sSubSup>
                <m:sSubSupPr>
                  <m:ctrlPr>
                    <w:rPr>
                      <w:rFonts w:ascii="Cambria Math" w:eastAsia="Malgun Gothic" w:hAnsi="Cambria Math"/>
                      <w:i/>
                    </w:rPr>
                  </m:ctrlPr>
                </m:sSubSupPr>
                <m:e>
                  <m:r>
                    <w:rPr>
                      <w:rFonts w:ascii="Cambria Math" w:eastAsia="Malgun Gothic" w:hAnsi="Cambria Math"/>
                      <w:lang w:val="en-US"/>
                    </w:rPr>
                    <m:t>N</m:t>
                  </m:r>
                </m:e>
                <m:sub>
                  <m:r>
                    <w:rPr>
                      <w:rFonts w:ascii="Cambria Math" w:eastAsia="Malgun Gothic" w:hAnsi="Cambria Math"/>
                      <w:lang w:val="en-US"/>
                    </w:rPr>
                    <m:t xml:space="preserve"> BWP,i</m:t>
                  </m:r>
                </m:sub>
                <m:sup>
                  <m:r>
                    <w:rPr>
                      <w:rFonts w:ascii="Cambria Math" w:eastAsia="Malgun Gothic" w:hAnsi="Cambria Math"/>
                      <w:lang w:val="en-US"/>
                    </w:rPr>
                    <m:t>size,μ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lang w:val="en-US"/>
                    </w:rPr>
                    <m:t>RB</m:t>
                  </m:r>
                </m:e>
                <m:sub>
                  <m:r>
                    <w:rPr>
                      <w:rFonts w:ascii="Cambria Math" w:eastAsia="Malgun Gothic" w:hAnsi="Cambria Math"/>
                      <w:lang w:val="en-US"/>
                    </w:rPr>
                    <m:t xml:space="preserve"> s1,x</m:t>
                  </m:r>
                </m:sub>
                <m:sup>
                  <m:r>
                    <w:rPr>
                      <w:rFonts w:ascii="Cambria Math" w:eastAsia="Malgun Gothic" w:hAnsi="Cambria Math"/>
                      <w:lang w:val="en-US"/>
                    </w:rPr>
                    <m:t>end,μ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lang w:val="en-US"/>
                    </w:rPr>
                    <m:t>RB</m:t>
                  </m:r>
                </m:e>
                <m:sub>
                  <m:r>
                    <w:rPr>
                      <w:rFonts w:ascii="Cambria Math" w:eastAsia="Malgun Gothic" w:hAnsi="Cambria Math"/>
                      <w:lang w:val="en-US"/>
                    </w:rPr>
                    <m:t xml:space="preserve"> s0,x</m:t>
                  </m:r>
                </m:sub>
                <m:sup>
                  <m:r>
                    <w:rPr>
                      <w:rFonts w:ascii="Cambria Math" w:eastAsia="Malgun Gothic" w:hAnsi="Cambria Math"/>
                      <w:lang w:val="en-US"/>
                    </w:rPr>
                    <m:t>start,μ</m:t>
                  </m:r>
                </m:sup>
              </m:sSubSup>
              <m:r>
                <w:rPr>
                  <w:rFonts w:ascii="Cambria Math" w:eastAsia="Malgun Gothic" w:hAnsi="Cambria Math"/>
                </w:rPr>
                <m:t>+1</m:t>
              </m:r>
            </m:oMath>
            <w:r>
              <w:rPr>
                <w:color w:val="000000"/>
              </w:rPr>
              <w:t xml:space="preserve"> where </w:t>
            </w:r>
            <m:oMath>
              <m:r>
                <w:rPr>
                  <w:rFonts w:ascii="Cambria Math" w:hAnsi="Cambria Math"/>
                  <w:color w:val="000000"/>
                </w:rPr>
                <m:t>0≤s0≤s1≤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RB-set,x</m:t>
                  </m:r>
                </m:sub>
              </m:sSub>
              <m:r>
                <w:rPr>
                  <w:rFonts w:ascii="Cambria Math" w:hAnsi="Cambria Math"/>
                  <w:color w:val="000000"/>
                </w:rPr>
                <m:t>-1</m:t>
              </m:r>
            </m:oMath>
            <w:r>
              <w:rPr>
                <w:color w:val="000000"/>
              </w:rPr>
              <w:t xml:space="preserve">for </w:t>
            </w:r>
            <w:r>
              <w:rPr>
                <w:rFonts w:eastAsia="Malgun Gothic"/>
                <w:color w:val="000000"/>
              </w:rPr>
              <w:t xml:space="preserve">a BWP </w:t>
            </w:r>
            <w:r w:rsidRPr="0058589D">
              <w:rPr>
                <w:rFonts w:eastAsia="Malgun Gothic"/>
                <w:i/>
                <w:color w:val="000000"/>
              </w:rPr>
              <w:t>i</w:t>
            </w:r>
            <w:r>
              <w:rPr>
                <w:rFonts w:eastAsia="Malgun Gothic"/>
                <w:color w:val="000000"/>
              </w:rPr>
              <w:t xml:space="preserve"> configured by </w:t>
            </w:r>
            <w:r>
              <w:rPr>
                <w:rFonts w:eastAsia="Malgun Gothic"/>
                <w:i/>
                <w:color w:val="000000"/>
              </w:rPr>
              <w:t>BWP-Downlink</w:t>
            </w:r>
            <w:r>
              <w:rPr>
                <w:rFonts w:eastAsia="Malgun Gothic"/>
                <w:color w:val="000000"/>
              </w:rPr>
              <w:t xml:space="preserve"> or </w:t>
            </w:r>
            <w:r>
              <w:rPr>
                <w:rFonts w:eastAsia="Malgun Gothic"/>
                <w:i/>
                <w:color w:val="000000"/>
              </w:rPr>
              <w:t>BWP-Uplink</w:t>
            </w:r>
            <w:r>
              <w:rPr>
                <w:rFonts w:eastAsia="Malgun Gothic"/>
                <w:color w:val="000000"/>
              </w:rPr>
              <w:t>.</w:t>
            </w:r>
            <w:r>
              <w:rPr>
                <w:rFonts w:eastAsia="Malgun Gothic"/>
                <w:color w:val="000000"/>
                <w:lang w:val="en-US"/>
              </w:rPr>
              <w:t xml:space="preserve">  Within the BWP </w:t>
            </w:r>
            <w:r w:rsidRPr="0058589D">
              <w:rPr>
                <w:rFonts w:eastAsia="Malgun Gothic"/>
                <w:i/>
                <w:color w:val="000000"/>
                <w:lang w:val="en-US"/>
              </w:rPr>
              <w:t>i</w:t>
            </w:r>
            <w:r w:rsidRPr="00EF5FEF">
              <w:rPr>
                <w:rFonts w:eastAsia="Malgun Gothic"/>
                <w:color w:val="000000"/>
                <w:lang w:val="en-US"/>
              </w:rPr>
              <w:t>,</w:t>
            </w:r>
            <w:r>
              <w:rPr>
                <w:rFonts w:eastAsia="Malgun Gothic"/>
                <w:color w:val="000000"/>
                <w:lang w:val="en-US"/>
              </w:rPr>
              <w:t xml:space="preserve"> RB sets</w:t>
            </w:r>
            <w:r>
              <w:rPr>
                <w:rFonts w:eastAsia="Malgun Gothic"/>
                <w:color w:val="000000"/>
              </w:rPr>
              <w:t xml:space="preserve"> </w:t>
            </w:r>
            <w:r>
              <w:rPr>
                <w:rFonts w:eastAsia="Malgun Gothic"/>
                <w:color w:val="000000"/>
                <w:lang w:val="en-US"/>
              </w:rPr>
              <w:t xml:space="preserve">are numbered in increasing order from 0 to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r>
                <w:rPr>
                  <w:rFonts w:ascii="Cambria Math" w:hAnsi="Cambria Math"/>
                  <w:color w:val="000000"/>
                </w:rPr>
                <m:t>-1</m:t>
              </m:r>
            </m:oMath>
            <w:r>
              <w:rPr>
                <w:rFonts w:eastAsia="Malgun Gothic" w:hint="eastAsia"/>
                <w:color w:val="000000"/>
                <w:lang w:val="en-US" w:eastAsia="ko-KR"/>
              </w:rPr>
              <w:t xml:space="preserve"> where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oMath>
            <w:r>
              <w:rPr>
                <w:rFonts w:eastAsia="Malgun Gothic" w:hint="eastAsia"/>
                <w:color w:val="000000"/>
                <w:lang w:eastAsia="ko-KR"/>
              </w:rPr>
              <w:t xml:space="preserve"> </w:t>
            </w:r>
            <w:r>
              <w:rPr>
                <w:rFonts w:eastAsia="Malgun Gothic"/>
                <w:color w:val="000000"/>
                <w:lang w:eastAsia="ko-KR"/>
              </w:rPr>
              <w:t xml:space="preserve">is the number of RB sets contained in the BWP </w:t>
            </w:r>
            <w:r w:rsidRPr="0058589D">
              <w:rPr>
                <w:rFonts w:eastAsia="Malgun Gothic"/>
                <w:i/>
                <w:color w:val="000000"/>
                <w:lang w:eastAsia="ko-KR"/>
              </w:rPr>
              <w:t>i</w:t>
            </w:r>
            <w:r>
              <w:rPr>
                <w:rFonts w:eastAsia="Malgun Gothic"/>
                <w:color w:val="000000"/>
                <w:lang w:eastAsia="ko-KR"/>
              </w:rPr>
              <w:t xml:space="preserve"> and RB set 0 within the BWP </w:t>
            </w:r>
            <w:r w:rsidRPr="00EF5FEF">
              <w:rPr>
                <w:rFonts w:eastAsia="Malgun Gothic"/>
                <w:i/>
                <w:color w:val="000000"/>
                <w:lang w:eastAsia="ko-KR"/>
              </w:rPr>
              <w:t>i</w:t>
            </w:r>
            <w:r>
              <w:rPr>
                <w:rFonts w:eastAsia="Malgun Gothic"/>
                <w:color w:val="000000"/>
                <w:lang w:eastAsia="ko-KR"/>
              </w:rPr>
              <w:t xml:space="preserve"> corresponds to RB set</w:t>
            </w:r>
            <w:r>
              <w:rPr>
                <w:rFonts w:eastAsia="Malgun Gothic"/>
                <w:color w:val="000000"/>
                <w:lang w:val="en-US"/>
              </w:rPr>
              <w:t xml:space="preserve"> </w:t>
            </w:r>
            <m:oMath>
              <m:r>
                <w:rPr>
                  <w:rFonts w:ascii="Cambria Math" w:hAnsi="Cambria Math"/>
                  <w:color w:val="000000"/>
                </w:rPr>
                <m:t>s0</m:t>
              </m:r>
            </m:oMath>
            <w:r>
              <w:rPr>
                <w:rFonts w:eastAsia="Malgun Gothic"/>
                <w:color w:val="000000"/>
              </w:rPr>
              <w:t xml:space="preserve"> in the carrier and RB set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r>
                <m:rPr>
                  <m:sty m:val="p"/>
                </m:rPr>
                <w:rPr>
                  <w:rFonts w:ascii="Cambria Math" w:eastAsia="Malgun Gothic" w:hAnsi="Cambria Math"/>
                  <w:color w:val="000000"/>
                </w:rPr>
                <m:t>-1</m:t>
              </m:r>
            </m:oMath>
            <w:r>
              <w:rPr>
                <w:rFonts w:eastAsia="Malgun Gothic" w:hint="eastAsia"/>
                <w:color w:val="000000"/>
                <w:lang w:eastAsia="ko-KR"/>
              </w:rPr>
              <w:t xml:space="preserve"> </w:t>
            </w:r>
            <w:r>
              <w:rPr>
                <w:rFonts w:eastAsia="Malgun Gothic"/>
                <w:color w:val="000000"/>
                <w:lang w:eastAsia="ko-KR"/>
              </w:rPr>
              <w:t xml:space="preserve">within the BWP </w:t>
            </w:r>
            <w:r w:rsidRPr="00EF5FEF">
              <w:rPr>
                <w:rFonts w:eastAsia="Malgun Gothic"/>
                <w:i/>
                <w:color w:val="000000"/>
                <w:lang w:eastAsia="ko-KR"/>
              </w:rPr>
              <w:t>i</w:t>
            </w:r>
            <w:r>
              <w:rPr>
                <w:rFonts w:eastAsia="Malgun Gothic"/>
                <w:color w:val="000000"/>
                <w:lang w:eastAsia="ko-KR"/>
              </w:rPr>
              <w:t xml:space="preserve"> corresponds </w:t>
            </w:r>
            <w:r>
              <w:rPr>
                <w:rFonts w:eastAsia="Malgun Gothic"/>
                <w:color w:val="000000"/>
              </w:rPr>
              <w:t xml:space="preserve">to RB set </w:t>
            </w:r>
            <m:oMath>
              <m:r>
                <w:rPr>
                  <w:rFonts w:ascii="Cambria Math" w:hAnsi="Cambria Math"/>
                  <w:color w:val="000000"/>
                </w:rPr>
                <m:t>s1</m:t>
              </m:r>
            </m:oMath>
            <w:r>
              <w:rPr>
                <w:rFonts w:eastAsia="Malgun Gothic" w:hint="eastAsia"/>
                <w:color w:val="000000"/>
                <w:lang w:eastAsia="ko-KR"/>
              </w:rPr>
              <w:t xml:space="preserve"> in the carrier</w:t>
            </w:r>
            <w:r>
              <w:rPr>
                <w:rFonts w:eastAsia="Malgun Gothic"/>
                <w:color w:val="000000"/>
                <w:lang w:val="en-US"/>
              </w:rPr>
              <w:t>.</w:t>
            </w:r>
          </w:p>
          <w:p w14:paraId="43EBB7AE" w14:textId="6087CCDF" w:rsidR="00643606" w:rsidRDefault="00643606" w:rsidP="00643606">
            <w:pPr>
              <w:rPr>
                <w:rFonts w:eastAsia="Malgun Gothic"/>
                <w:strike/>
                <w:color w:val="FF0000"/>
                <w:lang w:val="en-US"/>
              </w:rPr>
            </w:pPr>
            <w:r w:rsidRPr="00643606">
              <w:rPr>
                <w:rFonts w:eastAsia="Malgun Gothic"/>
                <w:strike/>
                <w:color w:val="FF0000"/>
                <w:lang w:val="en-US"/>
              </w:rPr>
              <w:t xml:space="preserve">[The configuration of </w:t>
            </w:r>
            <w:r w:rsidRPr="00643606">
              <w:rPr>
                <w:rFonts w:eastAsia="Malgun Gothic"/>
                <w:i/>
                <w:iCs/>
                <w:strike/>
                <w:color w:val="FF0000"/>
                <w:lang w:val="en-US"/>
              </w:rPr>
              <w:t>intraCellGuardBandDL-r16</w:t>
            </w:r>
            <w:r w:rsidRPr="00643606">
              <w:rPr>
                <w:rFonts w:eastAsia="Malgun Gothic"/>
                <w:strike/>
                <w:color w:val="FF0000"/>
                <w:lang w:val="en-US"/>
              </w:rPr>
              <w:t xml:space="preserve"> and </w:t>
            </w:r>
            <w:r w:rsidRPr="00643606">
              <w:rPr>
                <w:rFonts w:eastAsia="Malgun Gothic"/>
                <w:i/>
                <w:iCs/>
                <w:strike/>
                <w:color w:val="FF0000"/>
                <w:lang w:val="en-US"/>
              </w:rPr>
              <w:t>intraCellGuardBandUL-r16</w:t>
            </w:r>
            <w:r w:rsidRPr="00643606">
              <w:rPr>
                <w:rFonts w:eastAsia="Malgun Gothic"/>
                <w:strike/>
                <w:color w:val="FF0000"/>
                <w:lang w:val="en-US"/>
              </w:rPr>
              <w:t xml:space="preserve"> can indicate to the UE that no intra-cell guard-bands are configured.]</w:t>
            </w:r>
          </w:p>
          <w:p w14:paraId="2F255A65" w14:textId="6F6F594B" w:rsidR="00643606" w:rsidRPr="0020355E" w:rsidRDefault="00643606" w:rsidP="00643606">
            <w:pPr>
              <w:jc w:val="center"/>
              <w:rPr>
                <w:color w:val="0070C0"/>
              </w:rPr>
            </w:pPr>
            <w:r w:rsidRPr="0020355E">
              <w:rPr>
                <w:color w:val="0070C0"/>
              </w:rPr>
              <w:t>&lt;</w:t>
            </w:r>
            <w:r w:rsidR="00157FAC" w:rsidRPr="0020355E">
              <w:rPr>
                <w:color w:val="0070C0"/>
              </w:rPr>
              <w:t>unchanged</w:t>
            </w:r>
            <w:r w:rsidRPr="0020355E">
              <w:rPr>
                <w:color w:val="0070C0"/>
              </w:rPr>
              <w:t xml:space="preserve"> text omitted&gt;</w:t>
            </w:r>
          </w:p>
          <w:p w14:paraId="6C60F64D" w14:textId="6390DDBD" w:rsidR="00643606" w:rsidRPr="00643606" w:rsidRDefault="00643606" w:rsidP="00643606">
            <w:pPr>
              <w:jc w:val="center"/>
            </w:pPr>
          </w:p>
        </w:tc>
      </w:tr>
    </w:tbl>
    <w:p w14:paraId="2A392AA1" w14:textId="77777777" w:rsidR="00135949" w:rsidRDefault="00135949" w:rsidP="00BB6C5F">
      <w:pPr>
        <w:rPr>
          <w:lang w:val="en-US"/>
        </w:rPr>
      </w:pPr>
    </w:p>
    <w:p w14:paraId="0D827FAF" w14:textId="175EEF23" w:rsidR="0034111C" w:rsidRPr="00A51522" w:rsidRDefault="00EE7FA7" w:rsidP="003B3014">
      <w:pPr>
        <w:pStyle w:val="Heading1"/>
      </w:pPr>
      <w:r w:rsidRPr="00A51522">
        <w:t>Conclusion</w:t>
      </w:r>
      <w:r w:rsidR="00DB39D4" w:rsidRPr="00A51522">
        <w:t>s</w:t>
      </w:r>
    </w:p>
    <w:p w14:paraId="626917E1" w14:textId="08683510" w:rsidR="00731B79" w:rsidRDefault="003D3FBA" w:rsidP="14CAD5E4">
      <w:pPr>
        <w:spacing w:after="120"/>
        <w:jc w:val="both"/>
      </w:pPr>
      <w:r w:rsidRPr="00A51522">
        <w:t>In this contribution</w:t>
      </w:r>
      <w:r w:rsidR="009251C8">
        <w:t>,</w:t>
      </w:r>
      <w:r w:rsidRPr="00A51522">
        <w:t xml:space="preserve"> we discussed </w:t>
      </w:r>
      <w:r w:rsidR="00B046D0">
        <w:rPr>
          <w:lang w:val="en-US" w:eastAsia="fi-FI"/>
        </w:rPr>
        <w:t>remaining open issue</w:t>
      </w:r>
      <w:r w:rsidR="00800DC4" w:rsidRPr="00ED270C">
        <w:rPr>
          <w:lang w:val="en-US" w:eastAsia="fi-FI"/>
        </w:rPr>
        <w:t xml:space="preserve"> </w:t>
      </w:r>
      <w:r w:rsidR="00F5669F" w:rsidRPr="00ED270C">
        <w:rPr>
          <w:lang w:val="en-US" w:eastAsia="fi-FI"/>
        </w:rPr>
        <w:t xml:space="preserve">related to </w:t>
      </w:r>
      <w:r w:rsidR="00DA2210">
        <w:rPr>
          <w:lang w:val="en-US" w:eastAsia="fi-FI"/>
        </w:rPr>
        <w:t>wideband operation</w:t>
      </w:r>
      <w:r w:rsidR="006060C2" w:rsidRPr="00ED270C">
        <w:t>.</w:t>
      </w:r>
      <w:r w:rsidR="00342AD2" w:rsidRPr="00ED270C">
        <w:t xml:space="preserve"> Based on the discussion, we </w:t>
      </w:r>
      <w:r w:rsidR="00AF0D3D">
        <w:t>made</w:t>
      </w:r>
      <w:r w:rsidR="00342AD2" w:rsidRPr="00ED270C">
        <w:t xml:space="preserve"> the following</w:t>
      </w:r>
      <w:r w:rsidR="00A643E0" w:rsidRPr="00ED270C">
        <w:t xml:space="preserve"> </w:t>
      </w:r>
      <w:r w:rsidR="00342AD2" w:rsidRPr="00ED270C">
        <w:t>proposal</w:t>
      </w:r>
      <w:r w:rsidR="006060C2" w:rsidRPr="00ED270C">
        <w:t>s</w:t>
      </w:r>
      <w:r w:rsidR="00A64AE7" w:rsidRPr="00ED270C">
        <w:t xml:space="preserve"> and observation</w:t>
      </w:r>
      <w:r w:rsidR="00EF5E0D">
        <w:t>s</w:t>
      </w:r>
      <w:r w:rsidR="00342AD2" w:rsidRPr="00ED270C">
        <w:t>:</w:t>
      </w:r>
    </w:p>
    <w:p w14:paraId="1CC179C0" w14:textId="60C91B5E" w:rsidR="002B6605" w:rsidRPr="002B6605" w:rsidRDefault="002B6605" w:rsidP="002B6605">
      <w:pPr>
        <w:rPr>
          <w:i/>
          <w:iCs/>
        </w:rPr>
      </w:pPr>
      <w:r w:rsidRPr="002B6605">
        <w:rPr>
          <w:b/>
          <w:bCs/>
        </w:rPr>
        <w:t xml:space="preserve">Proposal 1: </w:t>
      </w:r>
      <w:r w:rsidRPr="002B6605">
        <w:rPr>
          <w:i/>
          <w:iCs/>
        </w:rPr>
        <w:t>Remove brackets in sub-clause 7 in TS38.214</w:t>
      </w:r>
      <w:r>
        <w:rPr>
          <w:i/>
          <w:iCs/>
        </w:rPr>
        <w:t>.</w:t>
      </w:r>
    </w:p>
    <w:p w14:paraId="45688454" w14:textId="7A00A79A" w:rsidR="002B6605" w:rsidRDefault="002B6605" w:rsidP="002B6605">
      <w:pPr>
        <w:rPr>
          <w:rFonts w:eastAsia="Malgun Gothic"/>
          <w:color w:val="000000"/>
          <w:lang w:val="en-US"/>
        </w:rPr>
      </w:pPr>
      <w:r w:rsidRPr="00672B72">
        <w:rPr>
          <w:b/>
          <w:bCs/>
          <w:lang w:val="en-US"/>
        </w:rPr>
        <w:t>Proposa</w:t>
      </w:r>
      <w:r>
        <w:rPr>
          <w:b/>
          <w:bCs/>
          <w:lang w:val="en-US"/>
        </w:rPr>
        <w:t>l 2</w:t>
      </w:r>
      <w:r w:rsidRPr="00672B72">
        <w:rPr>
          <w:b/>
          <w:bCs/>
          <w:lang w:val="en-US"/>
        </w:rPr>
        <w:t>:</w:t>
      </w:r>
      <w:r>
        <w:rPr>
          <w:lang w:val="en-US"/>
        </w:rPr>
        <w:t xml:space="preserve"> </w:t>
      </w:r>
      <w:r w:rsidRPr="002B6605">
        <w:rPr>
          <w:rFonts w:eastAsia="Malgun Gothic"/>
          <w:i/>
          <w:iCs/>
          <w:color w:val="000000"/>
        </w:rPr>
        <w:t xml:space="preserve">For a carrier </w:t>
      </w:r>
      <w:r w:rsidRPr="002B6605">
        <w:rPr>
          <w:rFonts w:eastAsia="Malgun Gothic"/>
          <w:i/>
          <w:iCs/>
          <w:color w:val="000000"/>
          <w:u w:val="single"/>
        </w:rPr>
        <w:t>without</w:t>
      </w:r>
      <w:r w:rsidRPr="002B6605">
        <w:rPr>
          <w:rFonts w:eastAsia="Malgun Gothic"/>
          <w:i/>
          <w:iCs/>
          <w:color w:val="000000"/>
        </w:rPr>
        <w:t xml:space="preserve"> intra-cell guard band(s), the UE </w:t>
      </w:r>
      <w:r w:rsidRPr="002B6605">
        <w:rPr>
          <w:i/>
          <w:iCs/>
          <w:color w:val="000000"/>
        </w:rPr>
        <w:t xml:space="preserve">expects </w:t>
      </w:r>
      <m:oMath>
        <m:r>
          <w:rPr>
            <w:rFonts w:ascii="Cambria Math" w:eastAsia="Malgun Gothic" w:hAnsi="Cambria Math"/>
            <w:lang w:val="en-US"/>
          </w:rPr>
          <m:t xml:space="preserve"> </m:t>
        </m:r>
        <m:sSubSup>
          <m:sSubSupPr>
            <m:ctrlPr>
              <w:rPr>
                <w:rFonts w:ascii="Cambria Math" w:eastAsia="Malgun Gothic" w:hAnsi="Cambria Math"/>
                <w:i/>
                <w:iCs/>
              </w:rPr>
            </m:ctrlPr>
          </m:sSubSupPr>
          <m:e>
            <m:r>
              <w:rPr>
                <w:rFonts w:ascii="Cambria Math" w:eastAsia="Malgun Gothic" w:hAnsi="Cambria Math"/>
                <w:lang w:val="en-US"/>
              </w:rPr>
              <m:t>N</m:t>
            </m:r>
          </m:e>
          <m:sub>
            <m:r>
              <w:rPr>
                <w:rFonts w:ascii="Cambria Math" w:eastAsia="Malgun Gothic" w:hAnsi="Cambria Math"/>
                <w:lang w:val="en-US"/>
              </w:rPr>
              <m:t xml:space="preserve"> BWP,i</m:t>
            </m:r>
          </m:sub>
          <m:sup>
            <m:r>
              <w:rPr>
                <w:rFonts w:ascii="Cambria Math" w:eastAsia="Malgun Gothic" w:hAnsi="Cambria Math"/>
                <w:lang w:val="en-US"/>
              </w:rPr>
              <m:t>start,μ</m:t>
            </m:r>
          </m:sup>
        </m:sSubSup>
        <m:r>
          <w:rPr>
            <w:rFonts w:ascii="Cambria Math" w:eastAsia="Malgun Gothic" w:hAnsi="Cambria Math"/>
          </w:rPr>
          <m:t>=</m:t>
        </m:r>
        <m:sSubSup>
          <m:sSubSupPr>
            <m:ctrlPr>
              <w:rPr>
                <w:rFonts w:ascii="Cambria Math" w:eastAsia="Malgun Gothic" w:hAnsi="Cambria Math"/>
                <w:i/>
                <w:iCs/>
              </w:rPr>
            </m:ctrlPr>
          </m:sSubSupPr>
          <m:e>
            <m:r>
              <w:rPr>
                <w:rFonts w:ascii="Cambria Math" w:eastAsia="Malgun Gothic" w:hAnsi="Cambria Math"/>
                <w:lang w:val="en-US"/>
              </w:rPr>
              <m:t>RB</m:t>
            </m:r>
          </m:e>
          <m:sub>
            <m:r>
              <w:rPr>
                <w:rFonts w:ascii="Cambria Math" w:eastAsia="Malgun Gothic" w:hAnsi="Cambria Math"/>
                <w:lang w:val="en-US"/>
              </w:rPr>
              <m:t xml:space="preserve"> s0,x</m:t>
            </m:r>
          </m:sub>
          <m:sup>
            <m:r>
              <w:rPr>
                <w:rFonts w:ascii="Cambria Math" w:eastAsia="Malgun Gothic" w:hAnsi="Cambria Math"/>
                <w:lang w:val="en-US"/>
              </w:rPr>
              <m:t>start,μ</m:t>
            </m:r>
          </m:sup>
        </m:sSubSup>
      </m:oMath>
      <w:r w:rsidRPr="002B6605">
        <w:rPr>
          <w:i/>
          <w:iCs/>
          <w:color w:val="000000"/>
        </w:rPr>
        <w:t xml:space="preserve">, and </w:t>
      </w:r>
      <m:oMath>
        <m:sSubSup>
          <m:sSubSupPr>
            <m:ctrlPr>
              <w:rPr>
                <w:rFonts w:ascii="Cambria Math" w:eastAsia="Malgun Gothic" w:hAnsi="Cambria Math"/>
                <w:i/>
                <w:iCs/>
              </w:rPr>
            </m:ctrlPr>
          </m:sSubSupPr>
          <m:e>
            <m:r>
              <w:rPr>
                <w:rFonts w:ascii="Cambria Math" w:eastAsia="Malgun Gothic" w:hAnsi="Cambria Math"/>
                <w:lang w:val="en-US"/>
              </w:rPr>
              <m:t>N</m:t>
            </m:r>
          </m:e>
          <m:sub>
            <m:r>
              <w:rPr>
                <w:rFonts w:ascii="Cambria Math" w:eastAsia="Malgun Gothic" w:hAnsi="Cambria Math"/>
                <w:lang w:val="en-US"/>
              </w:rPr>
              <m:t xml:space="preserve"> BWP,i</m:t>
            </m:r>
          </m:sub>
          <m:sup>
            <m:r>
              <w:rPr>
                <w:rFonts w:ascii="Cambria Math" w:eastAsia="Malgun Gothic" w:hAnsi="Cambria Math"/>
                <w:lang w:val="en-US"/>
              </w:rPr>
              <m:t>size,μ</m:t>
            </m:r>
          </m:sup>
        </m:sSubSup>
        <m:r>
          <w:rPr>
            <w:rFonts w:ascii="Cambria Math" w:eastAsia="Malgun Gothic" w:hAnsi="Cambria Math"/>
          </w:rPr>
          <m:t>=</m:t>
        </m:r>
        <m:sSubSup>
          <m:sSubSupPr>
            <m:ctrlPr>
              <w:rPr>
                <w:rFonts w:ascii="Cambria Math" w:eastAsia="Malgun Gothic" w:hAnsi="Cambria Math"/>
                <w:i/>
                <w:iCs/>
              </w:rPr>
            </m:ctrlPr>
          </m:sSubSupPr>
          <m:e>
            <m:r>
              <w:rPr>
                <w:rFonts w:ascii="Cambria Math" w:eastAsia="Malgun Gothic" w:hAnsi="Cambria Math"/>
                <w:lang w:val="en-US"/>
              </w:rPr>
              <m:t>RB</m:t>
            </m:r>
          </m:e>
          <m:sub>
            <m:r>
              <w:rPr>
                <w:rFonts w:ascii="Cambria Math" w:eastAsia="Malgun Gothic" w:hAnsi="Cambria Math"/>
                <w:lang w:val="en-US"/>
              </w:rPr>
              <m:t xml:space="preserve"> s1,x</m:t>
            </m:r>
          </m:sub>
          <m:sup>
            <m:r>
              <w:rPr>
                <w:rFonts w:ascii="Cambria Math" w:eastAsia="Malgun Gothic" w:hAnsi="Cambria Math"/>
                <w:lang w:val="en-US"/>
              </w:rPr>
              <m:t>end,μ</m:t>
            </m:r>
          </m:sup>
        </m:sSubSup>
        <m:r>
          <w:rPr>
            <w:rFonts w:ascii="Cambria Math" w:eastAsia="Malgun Gothic" w:hAnsi="Cambria Math"/>
          </w:rPr>
          <m:t>-</m:t>
        </m:r>
        <m:sSubSup>
          <m:sSubSupPr>
            <m:ctrlPr>
              <w:rPr>
                <w:rFonts w:ascii="Cambria Math" w:eastAsia="Malgun Gothic" w:hAnsi="Cambria Math"/>
                <w:i/>
                <w:iCs/>
              </w:rPr>
            </m:ctrlPr>
          </m:sSubSupPr>
          <m:e>
            <m:r>
              <w:rPr>
                <w:rFonts w:ascii="Cambria Math" w:eastAsia="Malgun Gothic" w:hAnsi="Cambria Math"/>
                <w:lang w:val="en-US"/>
              </w:rPr>
              <m:t>RB</m:t>
            </m:r>
          </m:e>
          <m:sub>
            <m:r>
              <w:rPr>
                <w:rFonts w:ascii="Cambria Math" w:eastAsia="Malgun Gothic" w:hAnsi="Cambria Math"/>
                <w:lang w:val="en-US"/>
              </w:rPr>
              <m:t xml:space="preserve"> s0,x</m:t>
            </m:r>
          </m:sub>
          <m:sup>
            <m:r>
              <w:rPr>
                <w:rFonts w:ascii="Cambria Math" w:eastAsia="Malgun Gothic" w:hAnsi="Cambria Math"/>
                <w:lang w:val="en-US"/>
              </w:rPr>
              <m:t>start,μ</m:t>
            </m:r>
          </m:sup>
        </m:sSubSup>
        <m:r>
          <w:rPr>
            <w:rFonts w:ascii="Cambria Math" w:eastAsia="Malgun Gothic" w:hAnsi="Cambria Math"/>
          </w:rPr>
          <m:t>+1</m:t>
        </m:r>
      </m:oMath>
      <w:r w:rsidRPr="002B6605">
        <w:rPr>
          <w:i/>
          <w:iCs/>
          <w:color w:val="000000"/>
        </w:rPr>
        <w:t xml:space="preserve"> where </w:t>
      </w:r>
      <m:oMath>
        <m:r>
          <w:rPr>
            <w:rFonts w:ascii="Cambria Math" w:hAnsi="Cambria Math"/>
            <w:color w:val="000000"/>
          </w:rPr>
          <m:t>0≤s0≤s1≤</m:t>
        </m:r>
        <m:sSub>
          <m:sSubPr>
            <m:ctrlPr>
              <w:rPr>
                <w:rFonts w:ascii="Cambria Math" w:hAnsi="Cambria Math"/>
                <w:i/>
                <w:iCs/>
                <w:color w:val="000000"/>
              </w:rPr>
            </m:ctrlPr>
          </m:sSubPr>
          <m:e>
            <m:r>
              <w:rPr>
                <w:rFonts w:ascii="Cambria Math" w:hAnsi="Cambria Math"/>
                <w:color w:val="000000"/>
              </w:rPr>
              <m:t>N</m:t>
            </m:r>
          </m:e>
          <m:sub>
            <m:r>
              <w:rPr>
                <w:rFonts w:ascii="Cambria Math" w:hAnsi="Cambria Math"/>
                <w:color w:val="000000"/>
              </w:rPr>
              <m:t>RB-set,x</m:t>
            </m:r>
          </m:sub>
        </m:sSub>
        <m:r>
          <w:rPr>
            <w:rFonts w:ascii="Cambria Math" w:hAnsi="Cambria Math"/>
            <w:color w:val="000000"/>
          </w:rPr>
          <m:t>-1</m:t>
        </m:r>
      </m:oMath>
      <w:r w:rsidRPr="002B6605">
        <w:rPr>
          <w:i/>
          <w:iCs/>
          <w:color w:val="000000"/>
        </w:rPr>
        <w:t xml:space="preserve"> for </w:t>
      </w:r>
      <w:r w:rsidRPr="002B6605">
        <w:rPr>
          <w:rFonts w:eastAsia="Malgun Gothic"/>
          <w:i/>
          <w:iCs/>
          <w:color w:val="000000"/>
        </w:rPr>
        <w:t>a BWP i configured by BWP-Downlink or BWP-Uplink.</w:t>
      </w:r>
      <w:r w:rsidRPr="002B6605">
        <w:rPr>
          <w:rFonts w:eastAsia="Malgun Gothic"/>
          <w:i/>
          <w:iCs/>
          <w:color w:val="000000"/>
          <w:lang w:val="en-US"/>
        </w:rPr>
        <w:t xml:space="preserve">  Within the BWP i, RB sets</w:t>
      </w:r>
      <w:r w:rsidRPr="002B6605">
        <w:rPr>
          <w:rFonts w:eastAsia="Malgun Gothic"/>
          <w:i/>
          <w:iCs/>
          <w:color w:val="000000"/>
        </w:rPr>
        <w:t xml:space="preserve"> </w:t>
      </w:r>
      <w:r w:rsidRPr="002B6605">
        <w:rPr>
          <w:rFonts w:eastAsia="Malgun Gothic"/>
          <w:i/>
          <w:iCs/>
          <w:color w:val="000000"/>
          <w:lang w:val="en-US"/>
        </w:rPr>
        <w:t xml:space="preserve">are numbered in increasing order from 0 to </w:t>
      </w:r>
      <m:oMath>
        <m:sSubSup>
          <m:sSubSupPr>
            <m:ctrlPr>
              <w:rPr>
                <w:rFonts w:ascii="Cambria Math" w:hAnsi="Cambria Math"/>
                <w:i/>
                <w:iCs/>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r>
          <w:rPr>
            <w:rFonts w:ascii="Cambria Math" w:hAnsi="Cambria Math"/>
            <w:color w:val="000000"/>
          </w:rPr>
          <m:t>-1</m:t>
        </m:r>
      </m:oMath>
      <w:r w:rsidRPr="002B6605">
        <w:rPr>
          <w:rFonts w:eastAsia="Malgun Gothic" w:hint="eastAsia"/>
          <w:i/>
          <w:iCs/>
          <w:color w:val="000000"/>
          <w:lang w:val="en-US" w:eastAsia="ko-KR"/>
        </w:rPr>
        <w:t xml:space="preserve"> where </w:t>
      </w:r>
      <m:oMath>
        <m:sSubSup>
          <m:sSubSupPr>
            <m:ctrlPr>
              <w:rPr>
                <w:rFonts w:ascii="Cambria Math" w:hAnsi="Cambria Math"/>
                <w:i/>
                <w:iCs/>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oMath>
      <w:r w:rsidRPr="002B6605">
        <w:rPr>
          <w:rFonts w:eastAsia="Malgun Gothic" w:hint="eastAsia"/>
          <w:i/>
          <w:iCs/>
          <w:color w:val="000000"/>
          <w:lang w:eastAsia="ko-KR"/>
        </w:rPr>
        <w:t xml:space="preserve"> </w:t>
      </w:r>
      <w:r w:rsidRPr="002B6605">
        <w:rPr>
          <w:rFonts w:eastAsia="Malgun Gothic"/>
          <w:i/>
          <w:iCs/>
          <w:color w:val="000000"/>
          <w:lang w:eastAsia="ko-KR"/>
        </w:rPr>
        <w:t>is the number of RB sets contained in the BWP i and RB set 0 within the BWP i corresponds to RB set</w:t>
      </w:r>
      <w:r w:rsidRPr="002B6605">
        <w:rPr>
          <w:rFonts w:eastAsia="Malgun Gothic"/>
          <w:i/>
          <w:iCs/>
          <w:color w:val="000000"/>
          <w:lang w:val="en-US"/>
        </w:rPr>
        <w:t xml:space="preserve"> </w:t>
      </w:r>
      <m:oMath>
        <m:r>
          <w:rPr>
            <w:rFonts w:ascii="Cambria Math" w:hAnsi="Cambria Math"/>
            <w:color w:val="000000"/>
          </w:rPr>
          <m:t>s0</m:t>
        </m:r>
      </m:oMath>
      <w:r w:rsidRPr="002B6605">
        <w:rPr>
          <w:rFonts w:eastAsia="Malgun Gothic"/>
          <w:i/>
          <w:iCs/>
          <w:color w:val="000000"/>
        </w:rPr>
        <w:t xml:space="preserve"> in the carrier and RB set </w:t>
      </w:r>
      <m:oMath>
        <m:sSubSup>
          <m:sSubSupPr>
            <m:ctrlPr>
              <w:rPr>
                <w:rFonts w:ascii="Cambria Math" w:hAnsi="Cambria Math"/>
                <w:i/>
                <w:iCs/>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r>
          <w:rPr>
            <w:rFonts w:ascii="Cambria Math" w:eastAsia="Malgun Gothic" w:hAnsi="Cambria Math"/>
            <w:color w:val="000000"/>
          </w:rPr>
          <m:t>-1</m:t>
        </m:r>
      </m:oMath>
      <w:r w:rsidRPr="002B6605">
        <w:rPr>
          <w:rFonts w:eastAsia="Malgun Gothic" w:hint="eastAsia"/>
          <w:i/>
          <w:iCs/>
          <w:color w:val="000000"/>
          <w:lang w:eastAsia="ko-KR"/>
        </w:rPr>
        <w:t xml:space="preserve"> </w:t>
      </w:r>
      <w:r w:rsidRPr="002B6605">
        <w:rPr>
          <w:rFonts w:eastAsia="Malgun Gothic"/>
          <w:i/>
          <w:iCs/>
          <w:color w:val="000000"/>
          <w:lang w:eastAsia="ko-KR"/>
        </w:rPr>
        <w:t xml:space="preserve">within the BWP i corresponds </w:t>
      </w:r>
      <w:r w:rsidRPr="002B6605">
        <w:rPr>
          <w:rFonts w:eastAsia="Malgun Gothic"/>
          <w:i/>
          <w:iCs/>
          <w:color w:val="000000"/>
        </w:rPr>
        <w:t xml:space="preserve">to RB set </w:t>
      </w:r>
      <m:oMath>
        <m:r>
          <w:rPr>
            <w:rFonts w:ascii="Cambria Math" w:hAnsi="Cambria Math"/>
            <w:color w:val="000000"/>
          </w:rPr>
          <m:t>s1</m:t>
        </m:r>
      </m:oMath>
      <w:r w:rsidRPr="002B6605">
        <w:rPr>
          <w:rFonts w:eastAsia="Malgun Gothic" w:hint="eastAsia"/>
          <w:i/>
          <w:iCs/>
          <w:color w:val="000000"/>
          <w:lang w:eastAsia="ko-KR"/>
        </w:rPr>
        <w:t xml:space="preserve"> in the carrier</w:t>
      </w:r>
      <w:r w:rsidRPr="002B6605">
        <w:rPr>
          <w:rFonts w:eastAsia="Malgun Gothic"/>
          <w:i/>
          <w:iCs/>
          <w:color w:val="000000"/>
          <w:lang w:val="en-US"/>
        </w:rPr>
        <w:t>.</w:t>
      </w:r>
    </w:p>
    <w:p w14:paraId="55A97297" w14:textId="77777777" w:rsidR="002B6605" w:rsidRPr="0020355E" w:rsidRDefault="002B6605" w:rsidP="002B6605">
      <w:pPr>
        <w:rPr>
          <w:i/>
          <w:iCs/>
          <w:lang w:val="en-US"/>
        </w:rPr>
      </w:pPr>
      <w:r>
        <w:rPr>
          <w:b/>
          <w:bCs/>
          <w:lang w:val="en-US"/>
        </w:rPr>
        <w:t>Proposal 3</w:t>
      </w:r>
      <w:r w:rsidRPr="00FB1462">
        <w:rPr>
          <w:b/>
          <w:bCs/>
          <w:lang w:val="en-US"/>
        </w:rPr>
        <w:t>:</w:t>
      </w:r>
      <w:r>
        <w:rPr>
          <w:lang w:val="en-US"/>
        </w:rPr>
        <w:t xml:space="preserve"> </w:t>
      </w:r>
      <w:r w:rsidRPr="0020355E">
        <w:rPr>
          <w:i/>
          <w:iCs/>
          <w:lang w:val="en-US"/>
        </w:rPr>
        <w:t xml:space="preserve">Send LS to kindly ask RAN2 to add </w:t>
      </w:r>
      <w:r w:rsidRPr="0020355E">
        <w:rPr>
          <w:i/>
          <w:iCs/>
        </w:rPr>
        <w:t>IntraCellGuardBand-r16 also</w:t>
      </w:r>
      <w:r w:rsidRPr="0020355E">
        <w:rPr>
          <w:i/>
          <w:iCs/>
          <w:lang w:val="en-US"/>
        </w:rPr>
        <w:t xml:space="preserve"> to ServingCellConfig.</w:t>
      </w:r>
    </w:p>
    <w:p w14:paraId="5521B357" w14:textId="77777777" w:rsidR="00F55F0D" w:rsidRPr="002B6605" w:rsidRDefault="00F55F0D" w:rsidP="00F55F0D">
      <w:pPr>
        <w:overflowPunct/>
        <w:autoSpaceDE/>
        <w:autoSpaceDN/>
        <w:adjustRightInd/>
        <w:spacing w:after="0"/>
        <w:rPr>
          <w:rFonts w:eastAsia="Batang"/>
          <w:kern w:val="24"/>
          <w:sz w:val="18"/>
          <w:szCs w:val="18"/>
          <w:lang w:val="en-US" w:eastAsia="fi-FI"/>
        </w:rPr>
      </w:pPr>
    </w:p>
    <w:p w14:paraId="4B3CB3EF" w14:textId="77777777" w:rsidR="004C4064" w:rsidRPr="00317A3F" w:rsidRDefault="004C4064" w:rsidP="004C4064">
      <w:pPr>
        <w:overflowPunct/>
        <w:autoSpaceDE/>
        <w:autoSpaceDN/>
        <w:adjustRightInd/>
        <w:spacing w:after="0"/>
        <w:rPr>
          <w:rFonts w:eastAsia="Batang"/>
          <w:kern w:val="24"/>
          <w:sz w:val="18"/>
          <w:szCs w:val="18"/>
          <w:lang w:eastAsia="fi-FI"/>
        </w:rPr>
      </w:pPr>
    </w:p>
    <w:p w14:paraId="2F0729C1" w14:textId="77777777" w:rsidR="0034111C" w:rsidRPr="00A51522" w:rsidRDefault="0034111C" w:rsidP="003B3014">
      <w:pPr>
        <w:pStyle w:val="Heading1"/>
      </w:pPr>
      <w:r w:rsidRPr="00A51522">
        <w:lastRenderedPageBreak/>
        <w:t>References</w:t>
      </w:r>
      <w:r w:rsidR="00A2459D" w:rsidRPr="00A51522">
        <w:t xml:space="preserve"> </w:t>
      </w:r>
    </w:p>
    <w:p w14:paraId="40D99FF0" w14:textId="3BBB992E" w:rsidR="00055676" w:rsidRPr="00227572" w:rsidRDefault="00211030" w:rsidP="00211030">
      <w:pPr>
        <w:numPr>
          <w:ilvl w:val="0"/>
          <w:numId w:val="1"/>
        </w:numPr>
        <w:rPr>
          <w:sz w:val="18"/>
          <w:szCs w:val="18"/>
        </w:rPr>
      </w:pPr>
      <w:bookmarkStart w:id="3" w:name="_Ref534191929"/>
      <w:r w:rsidRPr="00227572">
        <w:rPr>
          <w:sz w:val="18"/>
          <w:szCs w:val="18"/>
          <w:lang w:eastAsia="zh-CN"/>
        </w:rPr>
        <w:t>RP-182878</w:t>
      </w:r>
      <w:r w:rsidR="1CEFF1BD" w:rsidRPr="00227572">
        <w:rPr>
          <w:sz w:val="18"/>
          <w:szCs w:val="18"/>
          <w:lang w:eastAsia="zh-CN"/>
        </w:rPr>
        <w:t>, “</w:t>
      </w:r>
      <w:r w:rsidR="002C28CE" w:rsidRPr="00227572">
        <w:rPr>
          <w:i/>
          <w:iCs/>
          <w:sz w:val="18"/>
          <w:szCs w:val="18"/>
          <w:lang w:eastAsia="zh-CN"/>
        </w:rPr>
        <w:t>New WID on NR-based Access to Unlicensed Spectrum</w:t>
      </w:r>
      <w:r w:rsidR="1CEFF1BD" w:rsidRPr="00227572">
        <w:rPr>
          <w:sz w:val="18"/>
          <w:szCs w:val="18"/>
          <w:lang w:eastAsia="zh-CN"/>
        </w:rPr>
        <w:t>”, Qualcomm</w:t>
      </w:r>
      <w:bookmarkEnd w:id="3"/>
    </w:p>
    <w:p w14:paraId="40B72526" w14:textId="323B29B5" w:rsidR="002C28CE" w:rsidRPr="00227572" w:rsidRDefault="00211030" w:rsidP="00211030">
      <w:pPr>
        <w:numPr>
          <w:ilvl w:val="0"/>
          <w:numId w:val="1"/>
        </w:numPr>
        <w:rPr>
          <w:sz w:val="18"/>
          <w:szCs w:val="18"/>
        </w:rPr>
      </w:pPr>
      <w:bookmarkStart w:id="4" w:name="_Ref534191941"/>
      <w:r w:rsidRPr="00227572">
        <w:rPr>
          <w:sz w:val="18"/>
          <w:szCs w:val="18"/>
        </w:rPr>
        <w:t>TR 38.889, “</w:t>
      </w:r>
      <w:r w:rsidRPr="00227572">
        <w:rPr>
          <w:i/>
          <w:sz w:val="18"/>
          <w:szCs w:val="18"/>
        </w:rPr>
        <w:t>Study on NR-based access to unlicensed spectrum (Release 16)</w:t>
      </w:r>
      <w:r w:rsidRPr="00227572">
        <w:rPr>
          <w:sz w:val="18"/>
          <w:szCs w:val="18"/>
        </w:rPr>
        <w:t>”, 3GPP v16</w:t>
      </w:r>
      <w:bookmarkEnd w:id="4"/>
    </w:p>
    <w:p w14:paraId="22BBD694" w14:textId="1B23ACBB" w:rsidR="001E1E18" w:rsidRPr="00227572" w:rsidRDefault="001E1E18" w:rsidP="00211030">
      <w:pPr>
        <w:numPr>
          <w:ilvl w:val="0"/>
          <w:numId w:val="1"/>
        </w:numPr>
        <w:rPr>
          <w:sz w:val="18"/>
          <w:szCs w:val="18"/>
        </w:rPr>
      </w:pPr>
      <w:bookmarkStart w:id="5" w:name="_Ref15459134"/>
      <w:r w:rsidRPr="00227572">
        <w:rPr>
          <w:sz w:val="18"/>
          <w:szCs w:val="18"/>
        </w:rPr>
        <w:t xml:space="preserve">RP-191581, </w:t>
      </w:r>
      <w:r w:rsidRPr="00227572">
        <w:rPr>
          <w:i/>
          <w:sz w:val="18"/>
          <w:szCs w:val="18"/>
        </w:rPr>
        <w:t>“Guidance on essential functionality for NR-U”</w:t>
      </w:r>
      <w:r w:rsidRPr="00227572">
        <w:rPr>
          <w:sz w:val="18"/>
          <w:szCs w:val="18"/>
        </w:rPr>
        <w:t>, Qualcomm</w:t>
      </w:r>
      <w:bookmarkEnd w:id="5"/>
    </w:p>
    <w:sectPr w:rsidR="001E1E18" w:rsidRPr="00227572" w:rsidSect="00B974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F03CB" w14:textId="77777777" w:rsidR="002B6605" w:rsidRDefault="002B6605">
      <w:r>
        <w:separator/>
      </w:r>
    </w:p>
  </w:endnote>
  <w:endnote w:type="continuationSeparator" w:id="0">
    <w:p w14:paraId="5347101B" w14:textId="77777777" w:rsidR="002B6605" w:rsidRDefault="002B6605">
      <w:r>
        <w:continuationSeparator/>
      </w:r>
    </w:p>
  </w:endnote>
  <w:endnote w:type="continuationNotice" w:id="1">
    <w:p w14:paraId="3C1630A6" w14:textId="77777777" w:rsidR="002B6605" w:rsidRDefault="002B66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BoldItalicMT">
    <w:altName w:val="Arial"/>
    <w:panose1 w:val="00000000000000000000"/>
    <w:charset w:val="00"/>
    <w:family w:val="roman"/>
    <w:notTrueType/>
    <w:pitch w:val="default"/>
  </w:font>
  <w:font w:name="Arial,SimSun">
    <w:altName w:val="Arial"/>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50E6F" w14:textId="77777777" w:rsidR="002B6605" w:rsidRDefault="002B6605">
      <w:r>
        <w:separator/>
      </w:r>
    </w:p>
  </w:footnote>
  <w:footnote w:type="continuationSeparator" w:id="0">
    <w:p w14:paraId="4BA60AF0" w14:textId="77777777" w:rsidR="002B6605" w:rsidRDefault="002B6605">
      <w:r>
        <w:continuationSeparator/>
      </w:r>
    </w:p>
  </w:footnote>
  <w:footnote w:type="continuationNotice" w:id="1">
    <w:p w14:paraId="2D643023" w14:textId="77777777" w:rsidR="002B6605" w:rsidRDefault="002B66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12CFC"/>
    <w:multiLevelType w:val="hybridMultilevel"/>
    <w:tmpl w:val="024A1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3B778A"/>
    <w:multiLevelType w:val="hybridMultilevel"/>
    <w:tmpl w:val="57BEA246"/>
    <w:lvl w:ilvl="0" w:tplc="19D6AC94">
      <w:start w:val="1"/>
      <w:numFmt w:val="bullet"/>
      <w:lvlText w:val="•"/>
      <w:lvlJc w:val="left"/>
      <w:pPr>
        <w:tabs>
          <w:tab w:val="num" w:pos="720"/>
        </w:tabs>
        <w:ind w:left="720" w:hanging="360"/>
      </w:pPr>
      <w:rPr>
        <w:rFonts w:ascii="Arial" w:hAnsi="Arial" w:hint="default"/>
      </w:rPr>
    </w:lvl>
    <w:lvl w:ilvl="1" w:tplc="03D2F29C">
      <w:numFmt w:val="bullet"/>
      <w:lvlText w:val=""/>
      <w:lvlJc w:val="left"/>
      <w:pPr>
        <w:ind w:left="1455" w:hanging="375"/>
      </w:pPr>
      <w:rPr>
        <w:rFonts w:ascii="Wingdings" w:eastAsia="SimSun" w:hAnsi="Wingdings" w:cs="Times New Roman" w:hint="default"/>
      </w:rPr>
    </w:lvl>
    <w:lvl w:ilvl="2" w:tplc="F00A44FE">
      <w:numFmt w:val="bullet"/>
      <w:lvlText w:val="-"/>
      <w:lvlJc w:val="left"/>
      <w:pPr>
        <w:ind w:left="2160" w:hanging="360"/>
      </w:pPr>
      <w:rPr>
        <w:rFonts w:ascii="Times New Roman" w:eastAsia="SimSun" w:hAnsi="Times New Roman" w:cs="Times New Roman"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8AC66FC"/>
    <w:multiLevelType w:val="multilevel"/>
    <w:tmpl w:val="040B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6FFD0BFA"/>
    <w:multiLevelType w:val="hybridMultilevel"/>
    <w:tmpl w:val="6CDED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6"/>
  </w:num>
  <w:num w:numId="5">
    <w:abstractNumId w:val="1"/>
  </w:num>
  <w:num w:numId="6">
    <w:abstractNumId w:val="9"/>
  </w:num>
  <w:num w:numId="7">
    <w:abstractNumId w:val="7"/>
  </w:num>
  <w:num w:numId="8">
    <w:abstractNumId w:val="0"/>
  </w:num>
  <w:num w:numId="9">
    <w:abstractNumId w:val="2"/>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387"/>
    <w:rsid w:val="00003B2B"/>
    <w:rsid w:val="00004AC8"/>
    <w:rsid w:val="00006055"/>
    <w:rsid w:val="00006AD4"/>
    <w:rsid w:val="000074C4"/>
    <w:rsid w:val="000075D3"/>
    <w:rsid w:val="000079A6"/>
    <w:rsid w:val="00010C67"/>
    <w:rsid w:val="000114AF"/>
    <w:rsid w:val="00011A68"/>
    <w:rsid w:val="00011BB2"/>
    <w:rsid w:val="00012505"/>
    <w:rsid w:val="0001262C"/>
    <w:rsid w:val="00012C42"/>
    <w:rsid w:val="00012C4F"/>
    <w:rsid w:val="000131D1"/>
    <w:rsid w:val="00013455"/>
    <w:rsid w:val="000134E3"/>
    <w:rsid w:val="0001362B"/>
    <w:rsid w:val="00013632"/>
    <w:rsid w:val="000137FC"/>
    <w:rsid w:val="00013F5E"/>
    <w:rsid w:val="0001403F"/>
    <w:rsid w:val="00014091"/>
    <w:rsid w:val="0001411B"/>
    <w:rsid w:val="000146BD"/>
    <w:rsid w:val="0001487F"/>
    <w:rsid w:val="00014F35"/>
    <w:rsid w:val="00015F98"/>
    <w:rsid w:val="0001614D"/>
    <w:rsid w:val="000166AC"/>
    <w:rsid w:val="00017128"/>
    <w:rsid w:val="00017B7F"/>
    <w:rsid w:val="00017EDA"/>
    <w:rsid w:val="0002046D"/>
    <w:rsid w:val="000217D2"/>
    <w:rsid w:val="00022218"/>
    <w:rsid w:val="0002348B"/>
    <w:rsid w:val="00023742"/>
    <w:rsid w:val="00024AEF"/>
    <w:rsid w:val="00025F21"/>
    <w:rsid w:val="00026C65"/>
    <w:rsid w:val="000273E9"/>
    <w:rsid w:val="00027755"/>
    <w:rsid w:val="00030048"/>
    <w:rsid w:val="0003072D"/>
    <w:rsid w:val="000314CD"/>
    <w:rsid w:val="000318ED"/>
    <w:rsid w:val="00032EB8"/>
    <w:rsid w:val="00033544"/>
    <w:rsid w:val="000336E8"/>
    <w:rsid w:val="0003479E"/>
    <w:rsid w:val="0003484F"/>
    <w:rsid w:val="00035029"/>
    <w:rsid w:val="00035691"/>
    <w:rsid w:val="00035CD6"/>
    <w:rsid w:val="00037024"/>
    <w:rsid w:val="000409AF"/>
    <w:rsid w:val="0004132D"/>
    <w:rsid w:val="00041358"/>
    <w:rsid w:val="0004209C"/>
    <w:rsid w:val="000428A3"/>
    <w:rsid w:val="0004383E"/>
    <w:rsid w:val="0004452C"/>
    <w:rsid w:val="00044CFA"/>
    <w:rsid w:val="00044D80"/>
    <w:rsid w:val="00044F2E"/>
    <w:rsid w:val="000459C7"/>
    <w:rsid w:val="00046630"/>
    <w:rsid w:val="00046C80"/>
    <w:rsid w:val="00047FFA"/>
    <w:rsid w:val="00050112"/>
    <w:rsid w:val="00050466"/>
    <w:rsid w:val="000505CC"/>
    <w:rsid w:val="000511F9"/>
    <w:rsid w:val="00051616"/>
    <w:rsid w:val="00052207"/>
    <w:rsid w:val="0005230E"/>
    <w:rsid w:val="00052850"/>
    <w:rsid w:val="000528A2"/>
    <w:rsid w:val="00052BBA"/>
    <w:rsid w:val="00052C0A"/>
    <w:rsid w:val="00052E2B"/>
    <w:rsid w:val="00053221"/>
    <w:rsid w:val="00054663"/>
    <w:rsid w:val="00054D9D"/>
    <w:rsid w:val="00055676"/>
    <w:rsid w:val="00056544"/>
    <w:rsid w:val="00056949"/>
    <w:rsid w:val="00056967"/>
    <w:rsid w:val="000578A2"/>
    <w:rsid w:val="0005797E"/>
    <w:rsid w:val="00060269"/>
    <w:rsid w:val="00060794"/>
    <w:rsid w:val="00060D8E"/>
    <w:rsid w:val="00062159"/>
    <w:rsid w:val="0006245E"/>
    <w:rsid w:val="0006297F"/>
    <w:rsid w:val="000629AF"/>
    <w:rsid w:val="00062ABB"/>
    <w:rsid w:val="000631B7"/>
    <w:rsid w:val="00063321"/>
    <w:rsid w:val="00063D9E"/>
    <w:rsid w:val="0006459B"/>
    <w:rsid w:val="00064A59"/>
    <w:rsid w:val="00064A8B"/>
    <w:rsid w:val="00064AD3"/>
    <w:rsid w:val="00064CE3"/>
    <w:rsid w:val="00065088"/>
    <w:rsid w:val="0006519B"/>
    <w:rsid w:val="000652D3"/>
    <w:rsid w:val="000654A0"/>
    <w:rsid w:val="00066AC0"/>
    <w:rsid w:val="00067799"/>
    <w:rsid w:val="00067B99"/>
    <w:rsid w:val="00067D46"/>
    <w:rsid w:val="00067FFB"/>
    <w:rsid w:val="000707CA"/>
    <w:rsid w:val="000707FF"/>
    <w:rsid w:val="00070D32"/>
    <w:rsid w:val="000714D7"/>
    <w:rsid w:val="0007208A"/>
    <w:rsid w:val="00072BBA"/>
    <w:rsid w:val="00072FF5"/>
    <w:rsid w:val="00073814"/>
    <w:rsid w:val="00075035"/>
    <w:rsid w:val="00075FDA"/>
    <w:rsid w:val="000762E8"/>
    <w:rsid w:val="00076386"/>
    <w:rsid w:val="00076D82"/>
    <w:rsid w:val="00080339"/>
    <w:rsid w:val="00081724"/>
    <w:rsid w:val="00081EC2"/>
    <w:rsid w:val="000823F3"/>
    <w:rsid w:val="000823FE"/>
    <w:rsid w:val="00083800"/>
    <w:rsid w:val="00083C3D"/>
    <w:rsid w:val="00084A65"/>
    <w:rsid w:val="00084FCA"/>
    <w:rsid w:val="00086319"/>
    <w:rsid w:val="0009011E"/>
    <w:rsid w:val="0009185A"/>
    <w:rsid w:val="00091963"/>
    <w:rsid w:val="00091A92"/>
    <w:rsid w:val="00091D52"/>
    <w:rsid w:val="00092EEC"/>
    <w:rsid w:val="00093C49"/>
    <w:rsid w:val="00094050"/>
    <w:rsid w:val="00095A80"/>
    <w:rsid w:val="00096724"/>
    <w:rsid w:val="00096781"/>
    <w:rsid w:val="000973C8"/>
    <w:rsid w:val="000973E1"/>
    <w:rsid w:val="00097A1B"/>
    <w:rsid w:val="000A02D1"/>
    <w:rsid w:val="000A1402"/>
    <w:rsid w:val="000A1F88"/>
    <w:rsid w:val="000A20BA"/>
    <w:rsid w:val="000A262C"/>
    <w:rsid w:val="000A2EEA"/>
    <w:rsid w:val="000A38C0"/>
    <w:rsid w:val="000A3C8D"/>
    <w:rsid w:val="000A40EC"/>
    <w:rsid w:val="000A44DE"/>
    <w:rsid w:val="000A4BB2"/>
    <w:rsid w:val="000A52F5"/>
    <w:rsid w:val="000A54EE"/>
    <w:rsid w:val="000A57F0"/>
    <w:rsid w:val="000A6A23"/>
    <w:rsid w:val="000A7BC5"/>
    <w:rsid w:val="000A7F64"/>
    <w:rsid w:val="000B0C45"/>
    <w:rsid w:val="000B12B9"/>
    <w:rsid w:val="000B16DB"/>
    <w:rsid w:val="000B1B28"/>
    <w:rsid w:val="000B1C5E"/>
    <w:rsid w:val="000B1D13"/>
    <w:rsid w:val="000B1D79"/>
    <w:rsid w:val="000B2282"/>
    <w:rsid w:val="000B2A11"/>
    <w:rsid w:val="000B2A5B"/>
    <w:rsid w:val="000B2B69"/>
    <w:rsid w:val="000B3B91"/>
    <w:rsid w:val="000B5AC9"/>
    <w:rsid w:val="000B5F0A"/>
    <w:rsid w:val="000B6428"/>
    <w:rsid w:val="000B6A01"/>
    <w:rsid w:val="000C1D59"/>
    <w:rsid w:val="000C335E"/>
    <w:rsid w:val="000C3B02"/>
    <w:rsid w:val="000C501D"/>
    <w:rsid w:val="000C6680"/>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4F7B"/>
    <w:rsid w:val="000D584F"/>
    <w:rsid w:val="000D60C2"/>
    <w:rsid w:val="000D786B"/>
    <w:rsid w:val="000E06FC"/>
    <w:rsid w:val="000E071E"/>
    <w:rsid w:val="000E14A8"/>
    <w:rsid w:val="000E20D5"/>
    <w:rsid w:val="000E248B"/>
    <w:rsid w:val="000E27AA"/>
    <w:rsid w:val="000E337A"/>
    <w:rsid w:val="000E3671"/>
    <w:rsid w:val="000E3769"/>
    <w:rsid w:val="000E4350"/>
    <w:rsid w:val="000E4408"/>
    <w:rsid w:val="000E5716"/>
    <w:rsid w:val="000E5E1F"/>
    <w:rsid w:val="000E6E97"/>
    <w:rsid w:val="000E73D4"/>
    <w:rsid w:val="000E75EA"/>
    <w:rsid w:val="000E7A24"/>
    <w:rsid w:val="000E7A79"/>
    <w:rsid w:val="000F0FF6"/>
    <w:rsid w:val="000F15B2"/>
    <w:rsid w:val="000F19DE"/>
    <w:rsid w:val="000F23AA"/>
    <w:rsid w:val="000F28EB"/>
    <w:rsid w:val="000F2E1F"/>
    <w:rsid w:val="000F32C6"/>
    <w:rsid w:val="000F37B0"/>
    <w:rsid w:val="000F3836"/>
    <w:rsid w:val="000F4595"/>
    <w:rsid w:val="000F46C5"/>
    <w:rsid w:val="000F4CB2"/>
    <w:rsid w:val="000F4EC0"/>
    <w:rsid w:val="000F568D"/>
    <w:rsid w:val="000F609B"/>
    <w:rsid w:val="000F6351"/>
    <w:rsid w:val="000F72E8"/>
    <w:rsid w:val="00101875"/>
    <w:rsid w:val="00101C4F"/>
    <w:rsid w:val="00102C9F"/>
    <w:rsid w:val="001036C8"/>
    <w:rsid w:val="00105DB7"/>
    <w:rsid w:val="001068D2"/>
    <w:rsid w:val="00107051"/>
    <w:rsid w:val="001103BD"/>
    <w:rsid w:val="00110DA9"/>
    <w:rsid w:val="00111208"/>
    <w:rsid w:val="00111808"/>
    <w:rsid w:val="00111B94"/>
    <w:rsid w:val="0011229C"/>
    <w:rsid w:val="0011339F"/>
    <w:rsid w:val="00114705"/>
    <w:rsid w:val="00114E96"/>
    <w:rsid w:val="00115828"/>
    <w:rsid w:val="0011644A"/>
    <w:rsid w:val="001167B3"/>
    <w:rsid w:val="00116AEB"/>
    <w:rsid w:val="00117332"/>
    <w:rsid w:val="001204DD"/>
    <w:rsid w:val="00121603"/>
    <w:rsid w:val="00122839"/>
    <w:rsid w:val="001237AC"/>
    <w:rsid w:val="00123A30"/>
    <w:rsid w:val="00123FC0"/>
    <w:rsid w:val="00124665"/>
    <w:rsid w:val="00124E12"/>
    <w:rsid w:val="0012673D"/>
    <w:rsid w:val="001269B8"/>
    <w:rsid w:val="00127099"/>
    <w:rsid w:val="00130783"/>
    <w:rsid w:val="001312A3"/>
    <w:rsid w:val="00132B71"/>
    <w:rsid w:val="00133579"/>
    <w:rsid w:val="0013409D"/>
    <w:rsid w:val="0013427A"/>
    <w:rsid w:val="00134C28"/>
    <w:rsid w:val="00135949"/>
    <w:rsid w:val="001362C2"/>
    <w:rsid w:val="001366B8"/>
    <w:rsid w:val="00136955"/>
    <w:rsid w:val="00136E19"/>
    <w:rsid w:val="001371B2"/>
    <w:rsid w:val="00137381"/>
    <w:rsid w:val="00137873"/>
    <w:rsid w:val="00137930"/>
    <w:rsid w:val="00137D78"/>
    <w:rsid w:val="001401AD"/>
    <w:rsid w:val="001409A0"/>
    <w:rsid w:val="00140B7C"/>
    <w:rsid w:val="0014126E"/>
    <w:rsid w:val="00141442"/>
    <w:rsid w:val="00141A5E"/>
    <w:rsid w:val="00141F08"/>
    <w:rsid w:val="00141FF2"/>
    <w:rsid w:val="0014287A"/>
    <w:rsid w:val="00142DE2"/>
    <w:rsid w:val="00144C87"/>
    <w:rsid w:val="001467B1"/>
    <w:rsid w:val="00146DF0"/>
    <w:rsid w:val="00150175"/>
    <w:rsid w:val="001502C8"/>
    <w:rsid w:val="00150387"/>
    <w:rsid w:val="001506FF"/>
    <w:rsid w:val="00150B49"/>
    <w:rsid w:val="0015130F"/>
    <w:rsid w:val="00151DC9"/>
    <w:rsid w:val="00153849"/>
    <w:rsid w:val="00153A0F"/>
    <w:rsid w:val="001540E4"/>
    <w:rsid w:val="00154991"/>
    <w:rsid w:val="00154DA4"/>
    <w:rsid w:val="00155464"/>
    <w:rsid w:val="001558FB"/>
    <w:rsid w:val="00155BFD"/>
    <w:rsid w:val="00155DBD"/>
    <w:rsid w:val="00156A19"/>
    <w:rsid w:val="00156DC3"/>
    <w:rsid w:val="00157390"/>
    <w:rsid w:val="00157E6F"/>
    <w:rsid w:val="00157FAC"/>
    <w:rsid w:val="00160998"/>
    <w:rsid w:val="00160CD6"/>
    <w:rsid w:val="0016163D"/>
    <w:rsid w:val="00161F86"/>
    <w:rsid w:val="00162475"/>
    <w:rsid w:val="00162A24"/>
    <w:rsid w:val="0016316A"/>
    <w:rsid w:val="00163E1B"/>
    <w:rsid w:val="0016406F"/>
    <w:rsid w:val="00164171"/>
    <w:rsid w:val="001647CD"/>
    <w:rsid w:val="00164E58"/>
    <w:rsid w:val="00165033"/>
    <w:rsid w:val="0016533C"/>
    <w:rsid w:val="00165B18"/>
    <w:rsid w:val="00166205"/>
    <w:rsid w:val="001670EA"/>
    <w:rsid w:val="001674A0"/>
    <w:rsid w:val="00167C41"/>
    <w:rsid w:val="00170A50"/>
    <w:rsid w:val="00170E1B"/>
    <w:rsid w:val="00171925"/>
    <w:rsid w:val="00171F0C"/>
    <w:rsid w:val="00172A3D"/>
    <w:rsid w:val="00173729"/>
    <w:rsid w:val="00174FFD"/>
    <w:rsid w:val="001759CA"/>
    <w:rsid w:val="00176F1E"/>
    <w:rsid w:val="0017726A"/>
    <w:rsid w:val="0017743A"/>
    <w:rsid w:val="00177D03"/>
    <w:rsid w:val="00177DD3"/>
    <w:rsid w:val="0018006B"/>
    <w:rsid w:val="00180278"/>
    <w:rsid w:val="001806CE"/>
    <w:rsid w:val="00181296"/>
    <w:rsid w:val="00181756"/>
    <w:rsid w:val="001818A7"/>
    <w:rsid w:val="00181E86"/>
    <w:rsid w:val="00182725"/>
    <w:rsid w:val="001829C8"/>
    <w:rsid w:val="00182CA0"/>
    <w:rsid w:val="00182D52"/>
    <w:rsid w:val="00183208"/>
    <w:rsid w:val="00184098"/>
    <w:rsid w:val="0018431D"/>
    <w:rsid w:val="00184804"/>
    <w:rsid w:val="00184C82"/>
    <w:rsid w:val="00186904"/>
    <w:rsid w:val="00186B0A"/>
    <w:rsid w:val="00186C5C"/>
    <w:rsid w:val="001905BD"/>
    <w:rsid w:val="00192FE6"/>
    <w:rsid w:val="00193986"/>
    <w:rsid w:val="00193B08"/>
    <w:rsid w:val="00194570"/>
    <w:rsid w:val="00194E5A"/>
    <w:rsid w:val="00195812"/>
    <w:rsid w:val="00195EC5"/>
    <w:rsid w:val="00196BF4"/>
    <w:rsid w:val="001972DA"/>
    <w:rsid w:val="001976AA"/>
    <w:rsid w:val="001A02F6"/>
    <w:rsid w:val="001A04AD"/>
    <w:rsid w:val="001A15C6"/>
    <w:rsid w:val="001A288E"/>
    <w:rsid w:val="001A32B7"/>
    <w:rsid w:val="001A5E19"/>
    <w:rsid w:val="001A67B9"/>
    <w:rsid w:val="001A7333"/>
    <w:rsid w:val="001A78C8"/>
    <w:rsid w:val="001B01FA"/>
    <w:rsid w:val="001B0832"/>
    <w:rsid w:val="001B18A7"/>
    <w:rsid w:val="001B1ECB"/>
    <w:rsid w:val="001B21C9"/>
    <w:rsid w:val="001B21F5"/>
    <w:rsid w:val="001B2762"/>
    <w:rsid w:val="001B3270"/>
    <w:rsid w:val="001B36FC"/>
    <w:rsid w:val="001B3878"/>
    <w:rsid w:val="001B41ED"/>
    <w:rsid w:val="001B4607"/>
    <w:rsid w:val="001B480A"/>
    <w:rsid w:val="001B4D91"/>
    <w:rsid w:val="001B52B4"/>
    <w:rsid w:val="001B69CA"/>
    <w:rsid w:val="001B7E0C"/>
    <w:rsid w:val="001C0586"/>
    <w:rsid w:val="001C0674"/>
    <w:rsid w:val="001C193F"/>
    <w:rsid w:val="001C226F"/>
    <w:rsid w:val="001C2300"/>
    <w:rsid w:val="001C2917"/>
    <w:rsid w:val="001C29B1"/>
    <w:rsid w:val="001C52F3"/>
    <w:rsid w:val="001C54B2"/>
    <w:rsid w:val="001C59FE"/>
    <w:rsid w:val="001C66AC"/>
    <w:rsid w:val="001C6754"/>
    <w:rsid w:val="001C700D"/>
    <w:rsid w:val="001C77F0"/>
    <w:rsid w:val="001D04AA"/>
    <w:rsid w:val="001D217E"/>
    <w:rsid w:val="001D24A0"/>
    <w:rsid w:val="001D2EF5"/>
    <w:rsid w:val="001D3B67"/>
    <w:rsid w:val="001D46A0"/>
    <w:rsid w:val="001D49D6"/>
    <w:rsid w:val="001D4E22"/>
    <w:rsid w:val="001D59A6"/>
    <w:rsid w:val="001D718E"/>
    <w:rsid w:val="001D7CA4"/>
    <w:rsid w:val="001D7E58"/>
    <w:rsid w:val="001E185E"/>
    <w:rsid w:val="001E1CF8"/>
    <w:rsid w:val="001E1E18"/>
    <w:rsid w:val="001E2AAD"/>
    <w:rsid w:val="001E30A0"/>
    <w:rsid w:val="001E364F"/>
    <w:rsid w:val="001E3F75"/>
    <w:rsid w:val="001E4331"/>
    <w:rsid w:val="001E4D4F"/>
    <w:rsid w:val="001E57CF"/>
    <w:rsid w:val="001E5981"/>
    <w:rsid w:val="001E7199"/>
    <w:rsid w:val="001E74BA"/>
    <w:rsid w:val="001E7587"/>
    <w:rsid w:val="001E7B9F"/>
    <w:rsid w:val="001F01FB"/>
    <w:rsid w:val="001F0400"/>
    <w:rsid w:val="001F0658"/>
    <w:rsid w:val="001F0AED"/>
    <w:rsid w:val="001F0E92"/>
    <w:rsid w:val="001F1987"/>
    <w:rsid w:val="001F23BD"/>
    <w:rsid w:val="001F27BD"/>
    <w:rsid w:val="001F28AA"/>
    <w:rsid w:val="001F2A5D"/>
    <w:rsid w:val="001F2FD7"/>
    <w:rsid w:val="001F34DA"/>
    <w:rsid w:val="001F3915"/>
    <w:rsid w:val="001F4136"/>
    <w:rsid w:val="001F4DAC"/>
    <w:rsid w:val="001F5019"/>
    <w:rsid w:val="001F650F"/>
    <w:rsid w:val="001F67AA"/>
    <w:rsid w:val="001F6DA3"/>
    <w:rsid w:val="001F6F39"/>
    <w:rsid w:val="001F7599"/>
    <w:rsid w:val="001F7E35"/>
    <w:rsid w:val="00200E97"/>
    <w:rsid w:val="00200F14"/>
    <w:rsid w:val="0020189F"/>
    <w:rsid w:val="002025FC"/>
    <w:rsid w:val="0020355E"/>
    <w:rsid w:val="00203A52"/>
    <w:rsid w:val="00203C7E"/>
    <w:rsid w:val="00204B3A"/>
    <w:rsid w:val="0020535A"/>
    <w:rsid w:val="00205642"/>
    <w:rsid w:val="002061BC"/>
    <w:rsid w:val="00206955"/>
    <w:rsid w:val="00206D29"/>
    <w:rsid w:val="0020743E"/>
    <w:rsid w:val="00207860"/>
    <w:rsid w:val="0020793E"/>
    <w:rsid w:val="00207FB1"/>
    <w:rsid w:val="00210309"/>
    <w:rsid w:val="00211030"/>
    <w:rsid w:val="00212694"/>
    <w:rsid w:val="00212FB8"/>
    <w:rsid w:val="00213104"/>
    <w:rsid w:val="00213709"/>
    <w:rsid w:val="00214400"/>
    <w:rsid w:val="002149AF"/>
    <w:rsid w:val="00214A86"/>
    <w:rsid w:val="00215AAA"/>
    <w:rsid w:val="0021683C"/>
    <w:rsid w:val="00216856"/>
    <w:rsid w:val="00217DB6"/>
    <w:rsid w:val="002201EA"/>
    <w:rsid w:val="00220FE8"/>
    <w:rsid w:val="00221985"/>
    <w:rsid w:val="00221B3C"/>
    <w:rsid w:val="00221EC5"/>
    <w:rsid w:val="00222291"/>
    <w:rsid w:val="00222A7A"/>
    <w:rsid w:val="002234D9"/>
    <w:rsid w:val="00223855"/>
    <w:rsid w:val="00224A2C"/>
    <w:rsid w:val="00225549"/>
    <w:rsid w:val="002256D9"/>
    <w:rsid w:val="00225882"/>
    <w:rsid w:val="00225FFF"/>
    <w:rsid w:val="0022687C"/>
    <w:rsid w:val="002269C0"/>
    <w:rsid w:val="00226FA5"/>
    <w:rsid w:val="002272DB"/>
    <w:rsid w:val="00227572"/>
    <w:rsid w:val="00227857"/>
    <w:rsid w:val="00227BDA"/>
    <w:rsid w:val="002306F8"/>
    <w:rsid w:val="002312F4"/>
    <w:rsid w:val="002313A2"/>
    <w:rsid w:val="00231FC7"/>
    <w:rsid w:val="00232930"/>
    <w:rsid w:val="00232A95"/>
    <w:rsid w:val="00232DD9"/>
    <w:rsid w:val="00233403"/>
    <w:rsid w:val="00233440"/>
    <w:rsid w:val="002334CC"/>
    <w:rsid w:val="00233D0E"/>
    <w:rsid w:val="002341C3"/>
    <w:rsid w:val="0023487D"/>
    <w:rsid w:val="002362B1"/>
    <w:rsid w:val="00236450"/>
    <w:rsid w:val="0023765A"/>
    <w:rsid w:val="00237921"/>
    <w:rsid w:val="00237D27"/>
    <w:rsid w:val="0024001E"/>
    <w:rsid w:val="00241311"/>
    <w:rsid w:val="00241F82"/>
    <w:rsid w:val="00242238"/>
    <w:rsid w:val="00242E22"/>
    <w:rsid w:val="0024336B"/>
    <w:rsid w:val="0024390D"/>
    <w:rsid w:val="00244018"/>
    <w:rsid w:val="0024424F"/>
    <w:rsid w:val="00244595"/>
    <w:rsid w:val="00244D28"/>
    <w:rsid w:val="00245720"/>
    <w:rsid w:val="00245A6F"/>
    <w:rsid w:val="00245FD5"/>
    <w:rsid w:val="002465E4"/>
    <w:rsid w:val="0024749C"/>
    <w:rsid w:val="002477DF"/>
    <w:rsid w:val="00250E05"/>
    <w:rsid w:val="00250E54"/>
    <w:rsid w:val="00251AD6"/>
    <w:rsid w:val="00251B40"/>
    <w:rsid w:val="00252BBC"/>
    <w:rsid w:val="00252C17"/>
    <w:rsid w:val="0025307F"/>
    <w:rsid w:val="00253DE8"/>
    <w:rsid w:val="0025406F"/>
    <w:rsid w:val="002551BD"/>
    <w:rsid w:val="002551BF"/>
    <w:rsid w:val="00255F73"/>
    <w:rsid w:val="002568D0"/>
    <w:rsid w:val="00256B73"/>
    <w:rsid w:val="0026090B"/>
    <w:rsid w:val="00261644"/>
    <w:rsid w:val="00261D70"/>
    <w:rsid w:val="00261EE3"/>
    <w:rsid w:val="00262661"/>
    <w:rsid w:val="0026299C"/>
    <w:rsid w:val="002632DF"/>
    <w:rsid w:val="0026382C"/>
    <w:rsid w:val="0026400A"/>
    <w:rsid w:val="002640BA"/>
    <w:rsid w:val="00264BAA"/>
    <w:rsid w:val="00264CF2"/>
    <w:rsid w:val="0026570B"/>
    <w:rsid w:val="00266462"/>
    <w:rsid w:val="00266EA5"/>
    <w:rsid w:val="00267587"/>
    <w:rsid w:val="00270822"/>
    <w:rsid w:val="00271222"/>
    <w:rsid w:val="00271589"/>
    <w:rsid w:val="00271CF1"/>
    <w:rsid w:val="00273177"/>
    <w:rsid w:val="00275074"/>
    <w:rsid w:val="002758A4"/>
    <w:rsid w:val="00275D39"/>
    <w:rsid w:val="00275FFD"/>
    <w:rsid w:val="002763E9"/>
    <w:rsid w:val="00276736"/>
    <w:rsid w:val="002802E9"/>
    <w:rsid w:val="00280424"/>
    <w:rsid w:val="00281A31"/>
    <w:rsid w:val="00284695"/>
    <w:rsid w:val="00284C7E"/>
    <w:rsid w:val="00284E32"/>
    <w:rsid w:val="002851EB"/>
    <w:rsid w:val="00285510"/>
    <w:rsid w:val="00285DE2"/>
    <w:rsid w:val="0028616D"/>
    <w:rsid w:val="002865E2"/>
    <w:rsid w:val="00286965"/>
    <w:rsid w:val="002869D5"/>
    <w:rsid w:val="00286A88"/>
    <w:rsid w:val="00286AE7"/>
    <w:rsid w:val="00286F7F"/>
    <w:rsid w:val="0029136E"/>
    <w:rsid w:val="00292399"/>
    <w:rsid w:val="002924F7"/>
    <w:rsid w:val="0029294E"/>
    <w:rsid w:val="002930F9"/>
    <w:rsid w:val="00293D90"/>
    <w:rsid w:val="00294445"/>
    <w:rsid w:val="00294B4D"/>
    <w:rsid w:val="00294E53"/>
    <w:rsid w:val="00295FCD"/>
    <w:rsid w:val="002960D5"/>
    <w:rsid w:val="00296371"/>
    <w:rsid w:val="00297359"/>
    <w:rsid w:val="00297C13"/>
    <w:rsid w:val="00297C89"/>
    <w:rsid w:val="00297CC6"/>
    <w:rsid w:val="002A02B8"/>
    <w:rsid w:val="002A1062"/>
    <w:rsid w:val="002A2012"/>
    <w:rsid w:val="002A2413"/>
    <w:rsid w:val="002A2F5E"/>
    <w:rsid w:val="002A342D"/>
    <w:rsid w:val="002A352A"/>
    <w:rsid w:val="002A607D"/>
    <w:rsid w:val="002A7F16"/>
    <w:rsid w:val="002B0878"/>
    <w:rsid w:val="002B089A"/>
    <w:rsid w:val="002B132E"/>
    <w:rsid w:val="002B257E"/>
    <w:rsid w:val="002B2813"/>
    <w:rsid w:val="002B2D29"/>
    <w:rsid w:val="002B54E9"/>
    <w:rsid w:val="002B5DA0"/>
    <w:rsid w:val="002B6605"/>
    <w:rsid w:val="002B7212"/>
    <w:rsid w:val="002C0C4B"/>
    <w:rsid w:val="002C1EEA"/>
    <w:rsid w:val="002C2600"/>
    <w:rsid w:val="002C28CE"/>
    <w:rsid w:val="002C2F92"/>
    <w:rsid w:val="002C3780"/>
    <w:rsid w:val="002C47AD"/>
    <w:rsid w:val="002C6034"/>
    <w:rsid w:val="002C613E"/>
    <w:rsid w:val="002C635B"/>
    <w:rsid w:val="002C6B2A"/>
    <w:rsid w:val="002C7CFF"/>
    <w:rsid w:val="002D02E6"/>
    <w:rsid w:val="002D067B"/>
    <w:rsid w:val="002D07EA"/>
    <w:rsid w:val="002D0BC6"/>
    <w:rsid w:val="002D11F7"/>
    <w:rsid w:val="002D17C5"/>
    <w:rsid w:val="002D365F"/>
    <w:rsid w:val="002D401C"/>
    <w:rsid w:val="002D406E"/>
    <w:rsid w:val="002D4127"/>
    <w:rsid w:val="002D5066"/>
    <w:rsid w:val="002D658F"/>
    <w:rsid w:val="002D6E49"/>
    <w:rsid w:val="002D749A"/>
    <w:rsid w:val="002D7C86"/>
    <w:rsid w:val="002E0692"/>
    <w:rsid w:val="002E1D74"/>
    <w:rsid w:val="002E22A2"/>
    <w:rsid w:val="002E2943"/>
    <w:rsid w:val="002E2CF1"/>
    <w:rsid w:val="002E34AF"/>
    <w:rsid w:val="002E3C3F"/>
    <w:rsid w:val="002E41AE"/>
    <w:rsid w:val="002E41CB"/>
    <w:rsid w:val="002E4AAC"/>
    <w:rsid w:val="002E53DE"/>
    <w:rsid w:val="002E563B"/>
    <w:rsid w:val="002E62D2"/>
    <w:rsid w:val="002E74AF"/>
    <w:rsid w:val="002E758C"/>
    <w:rsid w:val="002E7784"/>
    <w:rsid w:val="002F048F"/>
    <w:rsid w:val="002F0D13"/>
    <w:rsid w:val="002F1038"/>
    <w:rsid w:val="002F1B80"/>
    <w:rsid w:val="002F1CDB"/>
    <w:rsid w:val="002F1ED2"/>
    <w:rsid w:val="002F201E"/>
    <w:rsid w:val="002F22FF"/>
    <w:rsid w:val="002F2D8F"/>
    <w:rsid w:val="002F50A6"/>
    <w:rsid w:val="002F546C"/>
    <w:rsid w:val="002F62CF"/>
    <w:rsid w:val="002F695B"/>
    <w:rsid w:val="002F6F16"/>
    <w:rsid w:val="002F72DA"/>
    <w:rsid w:val="002F76B1"/>
    <w:rsid w:val="002F7CC8"/>
    <w:rsid w:val="002F7D66"/>
    <w:rsid w:val="002F7DBE"/>
    <w:rsid w:val="0030055E"/>
    <w:rsid w:val="0030090B"/>
    <w:rsid w:val="00300C1D"/>
    <w:rsid w:val="00301FB7"/>
    <w:rsid w:val="00302AE8"/>
    <w:rsid w:val="00302BB1"/>
    <w:rsid w:val="00303A23"/>
    <w:rsid w:val="00304052"/>
    <w:rsid w:val="00304210"/>
    <w:rsid w:val="003048D7"/>
    <w:rsid w:val="00304A1B"/>
    <w:rsid w:val="00304AD2"/>
    <w:rsid w:val="003062E6"/>
    <w:rsid w:val="003068B6"/>
    <w:rsid w:val="003071F6"/>
    <w:rsid w:val="00307FE0"/>
    <w:rsid w:val="003113D8"/>
    <w:rsid w:val="00311944"/>
    <w:rsid w:val="00311C08"/>
    <w:rsid w:val="00312567"/>
    <w:rsid w:val="00312B9B"/>
    <w:rsid w:val="00312ECE"/>
    <w:rsid w:val="00313914"/>
    <w:rsid w:val="0031393C"/>
    <w:rsid w:val="00313CB0"/>
    <w:rsid w:val="00313F96"/>
    <w:rsid w:val="003150CE"/>
    <w:rsid w:val="00315AAB"/>
    <w:rsid w:val="003175E1"/>
    <w:rsid w:val="00317A3F"/>
    <w:rsid w:val="00317BD0"/>
    <w:rsid w:val="00320299"/>
    <w:rsid w:val="00320BEE"/>
    <w:rsid w:val="00321154"/>
    <w:rsid w:val="003211B0"/>
    <w:rsid w:val="00321EDA"/>
    <w:rsid w:val="0032235B"/>
    <w:rsid w:val="003224AA"/>
    <w:rsid w:val="003224E7"/>
    <w:rsid w:val="00322AEB"/>
    <w:rsid w:val="00322CD6"/>
    <w:rsid w:val="00323FA5"/>
    <w:rsid w:val="00323FF0"/>
    <w:rsid w:val="003254F7"/>
    <w:rsid w:val="00325CCE"/>
    <w:rsid w:val="00325D2C"/>
    <w:rsid w:val="00325D7A"/>
    <w:rsid w:val="00326145"/>
    <w:rsid w:val="00326B59"/>
    <w:rsid w:val="00326D07"/>
    <w:rsid w:val="00327163"/>
    <w:rsid w:val="00327305"/>
    <w:rsid w:val="00327531"/>
    <w:rsid w:val="00330187"/>
    <w:rsid w:val="003303B6"/>
    <w:rsid w:val="00331C77"/>
    <w:rsid w:val="00331DB6"/>
    <w:rsid w:val="00331F96"/>
    <w:rsid w:val="00332817"/>
    <w:rsid w:val="00332B55"/>
    <w:rsid w:val="0033365E"/>
    <w:rsid w:val="00335EA8"/>
    <w:rsid w:val="003363DD"/>
    <w:rsid w:val="003369DB"/>
    <w:rsid w:val="00336B9B"/>
    <w:rsid w:val="003376DA"/>
    <w:rsid w:val="00340361"/>
    <w:rsid w:val="00340795"/>
    <w:rsid w:val="0034111C"/>
    <w:rsid w:val="0034114A"/>
    <w:rsid w:val="003419AA"/>
    <w:rsid w:val="00341E60"/>
    <w:rsid w:val="0034217F"/>
    <w:rsid w:val="003421E0"/>
    <w:rsid w:val="003429CA"/>
    <w:rsid w:val="00342AD2"/>
    <w:rsid w:val="00342DBB"/>
    <w:rsid w:val="0034308C"/>
    <w:rsid w:val="00343379"/>
    <w:rsid w:val="00343954"/>
    <w:rsid w:val="0034535E"/>
    <w:rsid w:val="00345405"/>
    <w:rsid w:val="00345DDD"/>
    <w:rsid w:val="00346C1C"/>
    <w:rsid w:val="00346FED"/>
    <w:rsid w:val="0035007F"/>
    <w:rsid w:val="00350CE6"/>
    <w:rsid w:val="00351E01"/>
    <w:rsid w:val="0035225E"/>
    <w:rsid w:val="00352D21"/>
    <w:rsid w:val="003531F3"/>
    <w:rsid w:val="0035371F"/>
    <w:rsid w:val="0035443D"/>
    <w:rsid w:val="00354FEE"/>
    <w:rsid w:val="003554FB"/>
    <w:rsid w:val="00356275"/>
    <w:rsid w:val="003569B7"/>
    <w:rsid w:val="00356B54"/>
    <w:rsid w:val="00356BB6"/>
    <w:rsid w:val="00356C0B"/>
    <w:rsid w:val="00356D31"/>
    <w:rsid w:val="00357B9C"/>
    <w:rsid w:val="00357D7E"/>
    <w:rsid w:val="00360000"/>
    <w:rsid w:val="00361412"/>
    <w:rsid w:val="003615CA"/>
    <w:rsid w:val="00362E7F"/>
    <w:rsid w:val="003642A6"/>
    <w:rsid w:val="003649C1"/>
    <w:rsid w:val="00364C6B"/>
    <w:rsid w:val="003661B1"/>
    <w:rsid w:val="00367337"/>
    <w:rsid w:val="00367367"/>
    <w:rsid w:val="00367DA6"/>
    <w:rsid w:val="00367FD8"/>
    <w:rsid w:val="00370B63"/>
    <w:rsid w:val="00370FCC"/>
    <w:rsid w:val="003711AF"/>
    <w:rsid w:val="00371EF8"/>
    <w:rsid w:val="003731AC"/>
    <w:rsid w:val="003739D6"/>
    <w:rsid w:val="003739E0"/>
    <w:rsid w:val="00373FF7"/>
    <w:rsid w:val="00374848"/>
    <w:rsid w:val="00375D09"/>
    <w:rsid w:val="00375ED1"/>
    <w:rsid w:val="0037739D"/>
    <w:rsid w:val="0037751C"/>
    <w:rsid w:val="00380D76"/>
    <w:rsid w:val="00380F3F"/>
    <w:rsid w:val="00382232"/>
    <w:rsid w:val="00382F1A"/>
    <w:rsid w:val="00383282"/>
    <w:rsid w:val="00383658"/>
    <w:rsid w:val="00383927"/>
    <w:rsid w:val="0038412E"/>
    <w:rsid w:val="0038485C"/>
    <w:rsid w:val="00384968"/>
    <w:rsid w:val="00385463"/>
    <w:rsid w:val="00386053"/>
    <w:rsid w:val="0038771D"/>
    <w:rsid w:val="00390362"/>
    <w:rsid w:val="003908F5"/>
    <w:rsid w:val="003910B3"/>
    <w:rsid w:val="0039391B"/>
    <w:rsid w:val="00393E44"/>
    <w:rsid w:val="00393F21"/>
    <w:rsid w:val="00394270"/>
    <w:rsid w:val="00395528"/>
    <w:rsid w:val="00397AB6"/>
    <w:rsid w:val="00397ACA"/>
    <w:rsid w:val="003A0848"/>
    <w:rsid w:val="003A0DB0"/>
    <w:rsid w:val="003A10C3"/>
    <w:rsid w:val="003A2231"/>
    <w:rsid w:val="003A2F16"/>
    <w:rsid w:val="003A597F"/>
    <w:rsid w:val="003A619B"/>
    <w:rsid w:val="003A6B58"/>
    <w:rsid w:val="003A71A8"/>
    <w:rsid w:val="003B00CA"/>
    <w:rsid w:val="003B030B"/>
    <w:rsid w:val="003B0432"/>
    <w:rsid w:val="003B0821"/>
    <w:rsid w:val="003B0BE9"/>
    <w:rsid w:val="003B0DAF"/>
    <w:rsid w:val="003B1501"/>
    <w:rsid w:val="003B2898"/>
    <w:rsid w:val="003B2E9B"/>
    <w:rsid w:val="003B2F8D"/>
    <w:rsid w:val="003B3014"/>
    <w:rsid w:val="003B4FAA"/>
    <w:rsid w:val="003B547A"/>
    <w:rsid w:val="003B68C8"/>
    <w:rsid w:val="003B6C6C"/>
    <w:rsid w:val="003B6CB0"/>
    <w:rsid w:val="003B75B9"/>
    <w:rsid w:val="003C0DA2"/>
    <w:rsid w:val="003C0F0A"/>
    <w:rsid w:val="003C1A18"/>
    <w:rsid w:val="003C2902"/>
    <w:rsid w:val="003C3261"/>
    <w:rsid w:val="003C3734"/>
    <w:rsid w:val="003C43D2"/>
    <w:rsid w:val="003C5087"/>
    <w:rsid w:val="003C5C41"/>
    <w:rsid w:val="003C7159"/>
    <w:rsid w:val="003C7461"/>
    <w:rsid w:val="003C7E20"/>
    <w:rsid w:val="003D0564"/>
    <w:rsid w:val="003D0788"/>
    <w:rsid w:val="003D132A"/>
    <w:rsid w:val="003D1517"/>
    <w:rsid w:val="003D1A6F"/>
    <w:rsid w:val="003D1CEB"/>
    <w:rsid w:val="003D1DCA"/>
    <w:rsid w:val="003D2938"/>
    <w:rsid w:val="003D2C75"/>
    <w:rsid w:val="003D3216"/>
    <w:rsid w:val="003D3FBA"/>
    <w:rsid w:val="003D402B"/>
    <w:rsid w:val="003D40A2"/>
    <w:rsid w:val="003D764F"/>
    <w:rsid w:val="003D7D81"/>
    <w:rsid w:val="003E030C"/>
    <w:rsid w:val="003E0667"/>
    <w:rsid w:val="003E0BCE"/>
    <w:rsid w:val="003E13E0"/>
    <w:rsid w:val="003E1660"/>
    <w:rsid w:val="003E1C09"/>
    <w:rsid w:val="003E1CD1"/>
    <w:rsid w:val="003E1DC2"/>
    <w:rsid w:val="003E2A2D"/>
    <w:rsid w:val="003E2DC3"/>
    <w:rsid w:val="003E3497"/>
    <w:rsid w:val="003E38B8"/>
    <w:rsid w:val="003E3EF9"/>
    <w:rsid w:val="003E521F"/>
    <w:rsid w:val="003E5606"/>
    <w:rsid w:val="003E5761"/>
    <w:rsid w:val="003E64A9"/>
    <w:rsid w:val="003E7002"/>
    <w:rsid w:val="003E7905"/>
    <w:rsid w:val="003F0336"/>
    <w:rsid w:val="003F1223"/>
    <w:rsid w:val="003F1B56"/>
    <w:rsid w:val="003F1B97"/>
    <w:rsid w:val="003F2147"/>
    <w:rsid w:val="003F40BD"/>
    <w:rsid w:val="003F41DF"/>
    <w:rsid w:val="003F4488"/>
    <w:rsid w:val="003F47F4"/>
    <w:rsid w:val="003F5547"/>
    <w:rsid w:val="003F5C40"/>
    <w:rsid w:val="003F5C78"/>
    <w:rsid w:val="003F6700"/>
    <w:rsid w:val="003F686F"/>
    <w:rsid w:val="003F6AAE"/>
    <w:rsid w:val="003F6E12"/>
    <w:rsid w:val="003F72B0"/>
    <w:rsid w:val="003F75ED"/>
    <w:rsid w:val="004000DD"/>
    <w:rsid w:val="004002B7"/>
    <w:rsid w:val="00400F31"/>
    <w:rsid w:val="0040283A"/>
    <w:rsid w:val="00403A19"/>
    <w:rsid w:val="00404844"/>
    <w:rsid w:val="00406B4D"/>
    <w:rsid w:val="00406DF6"/>
    <w:rsid w:val="00406ED7"/>
    <w:rsid w:val="00410559"/>
    <w:rsid w:val="00410BD2"/>
    <w:rsid w:val="004126BD"/>
    <w:rsid w:val="00413FAB"/>
    <w:rsid w:val="004140C4"/>
    <w:rsid w:val="0041443C"/>
    <w:rsid w:val="00414D94"/>
    <w:rsid w:val="004154F7"/>
    <w:rsid w:val="00415861"/>
    <w:rsid w:val="00416D44"/>
    <w:rsid w:val="00416EB8"/>
    <w:rsid w:val="004172D6"/>
    <w:rsid w:val="0041749F"/>
    <w:rsid w:val="004176FF"/>
    <w:rsid w:val="00421729"/>
    <w:rsid w:val="00421A27"/>
    <w:rsid w:val="00421D0A"/>
    <w:rsid w:val="004238B8"/>
    <w:rsid w:val="004239B5"/>
    <w:rsid w:val="00423E59"/>
    <w:rsid w:val="004241C5"/>
    <w:rsid w:val="004244AF"/>
    <w:rsid w:val="00424FA7"/>
    <w:rsid w:val="00425397"/>
    <w:rsid w:val="0042592E"/>
    <w:rsid w:val="00425D78"/>
    <w:rsid w:val="00426428"/>
    <w:rsid w:val="00426A87"/>
    <w:rsid w:val="004309D8"/>
    <w:rsid w:val="004313D1"/>
    <w:rsid w:val="00431FD5"/>
    <w:rsid w:val="00432110"/>
    <w:rsid w:val="00432933"/>
    <w:rsid w:val="00433EBE"/>
    <w:rsid w:val="00434406"/>
    <w:rsid w:val="00436AD2"/>
    <w:rsid w:val="00437A1D"/>
    <w:rsid w:val="00440FED"/>
    <w:rsid w:val="00441194"/>
    <w:rsid w:val="0044158B"/>
    <w:rsid w:val="00441B0A"/>
    <w:rsid w:val="00441B92"/>
    <w:rsid w:val="00441E5A"/>
    <w:rsid w:val="00442607"/>
    <w:rsid w:val="00442943"/>
    <w:rsid w:val="004435B9"/>
    <w:rsid w:val="00444190"/>
    <w:rsid w:val="0044474B"/>
    <w:rsid w:val="00445801"/>
    <w:rsid w:val="00445F09"/>
    <w:rsid w:val="00445FF7"/>
    <w:rsid w:val="0044633D"/>
    <w:rsid w:val="0044706D"/>
    <w:rsid w:val="004474BB"/>
    <w:rsid w:val="00450575"/>
    <w:rsid w:val="00453341"/>
    <w:rsid w:val="00453EF8"/>
    <w:rsid w:val="00454336"/>
    <w:rsid w:val="004543C5"/>
    <w:rsid w:val="004545C6"/>
    <w:rsid w:val="00454C21"/>
    <w:rsid w:val="00454DCA"/>
    <w:rsid w:val="00454ECB"/>
    <w:rsid w:val="00455A54"/>
    <w:rsid w:val="00456006"/>
    <w:rsid w:val="004561C0"/>
    <w:rsid w:val="00456544"/>
    <w:rsid w:val="00456649"/>
    <w:rsid w:val="004567B7"/>
    <w:rsid w:val="00456856"/>
    <w:rsid w:val="00456C0F"/>
    <w:rsid w:val="004572A6"/>
    <w:rsid w:val="00457810"/>
    <w:rsid w:val="00457953"/>
    <w:rsid w:val="0046066F"/>
    <w:rsid w:val="004608A2"/>
    <w:rsid w:val="00461210"/>
    <w:rsid w:val="00461740"/>
    <w:rsid w:val="00462490"/>
    <w:rsid w:val="00462A0A"/>
    <w:rsid w:val="004632FD"/>
    <w:rsid w:val="00463823"/>
    <w:rsid w:val="00463991"/>
    <w:rsid w:val="00464EE8"/>
    <w:rsid w:val="00465299"/>
    <w:rsid w:val="00465C91"/>
    <w:rsid w:val="004661A5"/>
    <w:rsid w:val="00466223"/>
    <w:rsid w:val="004663BB"/>
    <w:rsid w:val="004669D0"/>
    <w:rsid w:val="00466A0F"/>
    <w:rsid w:val="00467520"/>
    <w:rsid w:val="0046795B"/>
    <w:rsid w:val="00467F00"/>
    <w:rsid w:val="00470341"/>
    <w:rsid w:val="004708C0"/>
    <w:rsid w:val="004715CB"/>
    <w:rsid w:val="00471863"/>
    <w:rsid w:val="004718EA"/>
    <w:rsid w:val="00471A2A"/>
    <w:rsid w:val="00473293"/>
    <w:rsid w:val="00473A14"/>
    <w:rsid w:val="00474CA8"/>
    <w:rsid w:val="00474E43"/>
    <w:rsid w:val="00475A4A"/>
    <w:rsid w:val="00477A9C"/>
    <w:rsid w:val="0048076D"/>
    <w:rsid w:val="00480F9C"/>
    <w:rsid w:val="004814C2"/>
    <w:rsid w:val="004817DD"/>
    <w:rsid w:val="00481C24"/>
    <w:rsid w:val="00481D90"/>
    <w:rsid w:val="00482CCF"/>
    <w:rsid w:val="00482CD4"/>
    <w:rsid w:val="00483261"/>
    <w:rsid w:val="00484021"/>
    <w:rsid w:val="004842AF"/>
    <w:rsid w:val="00485843"/>
    <w:rsid w:val="004858BF"/>
    <w:rsid w:val="00485B23"/>
    <w:rsid w:val="0048630D"/>
    <w:rsid w:val="00486EC8"/>
    <w:rsid w:val="0048748C"/>
    <w:rsid w:val="004874E4"/>
    <w:rsid w:val="004900C1"/>
    <w:rsid w:val="00490631"/>
    <w:rsid w:val="0049070D"/>
    <w:rsid w:val="00490885"/>
    <w:rsid w:val="004914A9"/>
    <w:rsid w:val="004916FC"/>
    <w:rsid w:val="00491BE4"/>
    <w:rsid w:val="00491DB2"/>
    <w:rsid w:val="00492718"/>
    <w:rsid w:val="00492877"/>
    <w:rsid w:val="00492B27"/>
    <w:rsid w:val="00492DED"/>
    <w:rsid w:val="0049468D"/>
    <w:rsid w:val="0049579D"/>
    <w:rsid w:val="00496DC2"/>
    <w:rsid w:val="00496E75"/>
    <w:rsid w:val="004A014C"/>
    <w:rsid w:val="004A0AA8"/>
    <w:rsid w:val="004A0D47"/>
    <w:rsid w:val="004A12D8"/>
    <w:rsid w:val="004A1FE4"/>
    <w:rsid w:val="004A2CA9"/>
    <w:rsid w:val="004A31BE"/>
    <w:rsid w:val="004A33EF"/>
    <w:rsid w:val="004A34C9"/>
    <w:rsid w:val="004A3CB5"/>
    <w:rsid w:val="004A441B"/>
    <w:rsid w:val="004A537D"/>
    <w:rsid w:val="004A5BF7"/>
    <w:rsid w:val="004A67F0"/>
    <w:rsid w:val="004A6EE8"/>
    <w:rsid w:val="004A71C3"/>
    <w:rsid w:val="004A74D2"/>
    <w:rsid w:val="004A7769"/>
    <w:rsid w:val="004B01BF"/>
    <w:rsid w:val="004B0DCB"/>
    <w:rsid w:val="004B1484"/>
    <w:rsid w:val="004B23AD"/>
    <w:rsid w:val="004B24E5"/>
    <w:rsid w:val="004B2965"/>
    <w:rsid w:val="004B4224"/>
    <w:rsid w:val="004B4647"/>
    <w:rsid w:val="004B53A3"/>
    <w:rsid w:val="004B5E52"/>
    <w:rsid w:val="004B64DB"/>
    <w:rsid w:val="004B68ED"/>
    <w:rsid w:val="004B7455"/>
    <w:rsid w:val="004B74FF"/>
    <w:rsid w:val="004B77A6"/>
    <w:rsid w:val="004B7CE4"/>
    <w:rsid w:val="004C0401"/>
    <w:rsid w:val="004C054F"/>
    <w:rsid w:val="004C0A34"/>
    <w:rsid w:val="004C0C49"/>
    <w:rsid w:val="004C183D"/>
    <w:rsid w:val="004C1C8D"/>
    <w:rsid w:val="004C206C"/>
    <w:rsid w:val="004C2669"/>
    <w:rsid w:val="004C2889"/>
    <w:rsid w:val="004C3EC7"/>
    <w:rsid w:val="004C3EEE"/>
    <w:rsid w:val="004C4064"/>
    <w:rsid w:val="004C483D"/>
    <w:rsid w:val="004C5BCC"/>
    <w:rsid w:val="004C6C7D"/>
    <w:rsid w:val="004C795A"/>
    <w:rsid w:val="004C7F93"/>
    <w:rsid w:val="004D07AC"/>
    <w:rsid w:val="004D08ED"/>
    <w:rsid w:val="004D26B8"/>
    <w:rsid w:val="004D38C2"/>
    <w:rsid w:val="004D4FBD"/>
    <w:rsid w:val="004D4FC0"/>
    <w:rsid w:val="004D59CA"/>
    <w:rsid w:val="004D6736"/>
    <w:rsid w:val="004D7DA8"/>
    <w:rsid w:val="004E0767"/>
    <w:rsid w:val="004E2892"/>
    <w:rsid w:val="004E32B9"/>
    <w:rsid w:val="004E362B"/>
    <w:rsid w:val="004E3681"/>
    <w:rsid w:val="004E3D74"/>
    <w:rsid w:val="004E4E87"/>
    <w:rsid w:val="004E6BAF"/>
    <w:rsid w:val="004E6FD6"/>
    <w:rsid w:val="004E784B"/>
    <w:rsid w:val="004E787D"/>
    <w:rsid w:val="004E7ED0"/>
    <w:rsid w:val="004F0224"/>
    <w:rsid w:val="004F0DB4"/>
    <w:rsid w:val="004F0E04"/>
    <w:rsid w:val="004F1117"/>
    <w:rsid w:val="004F1EBC"/>
    <w:rsid w:val="004F20E8"/>
    <w:rsid w:val="004F2DDD"/>
    <w:rsid w:val="004F3076"/>
    <w:rsid w:val="004F347A"/>
    <w:rsid w:val="004F3B71"/>
    <w:rsid w:val="004F4515"/>
    <w:rsid w:val="004F4B2F"/>
    <w:rsid w:val="004F5154"/>
    <w:rsid w:val="004F5835"/>
    <w:rsid w:val="004F661C"/>
    <w:rsid w:val="004F6A05"/>
    <w:rsid w:val="004F6D99"/>
    <w:rsid w:val="004F7070"/>
    <w:rsid w:val="004F736B"/>
    <w:rsid w:val="004F7FF6"/>
    <w:rsid w:val="00500572"/>
    <w:rsid w:val="005010D1"/>
    <w:rsid w:val="00501304"/>
    <w:rsid w:val="00501425"/>
    <w:rsid w:val="00501A5C"/>
    <w:rsid w:val="005024E1"/>
    <w:rsid w:val="00502711"/>
    <w:rsid w:val="00502D4A"/>
    <w:rsid w:val="005036BE"/>
    <w:rsid w:val="00503AFB"/>
    <w:rsid w:val="00504311"/>
    <w:rsid w:val="0050485C"/>
    <w:rsid w:val="00504AC6"/>
    <w:rsid w:val="005053E4"/>
    <w:rsid w:val="005056D1"/>
    <w:rsid w:val="005073F1"/>
    <w:rsid w:val="0051033E"/>
    <w:rsid w:val="00510C5E"/>
    <w:rsid w:val="00511079"/>
    <w:rsid w:val="00511CDF"/>
    <w:rsid w:val="00511DA3"/>
    <w:rsid w:val="0051221F"/>
    <w:rsid w:val="00512829"/>
    <w:rsid w:val="00512F11"/>
    <w:rsid w:val="0051351E"/>
    <w:rsid w:val="00513839"/>
    <w:rsid w:val="00513B29"/>
    <w:rsid w:val="00513DEF"/>
    <w:rsid w:val="00513F57"/>
    <w:rsid w:val="0051423C"/>
    <w:rsid w:val="00514C91"/>
    <w:rsid w:val="00514FCC"/>
    <w:rsid w:val="005153CE"/>
    <w:rsid w:val="00516241"/>
    <w:rsid w:val="00516FD9"/>
    <w:rsid w:val="0051722A"/>
    <w:rsid w:val="00517261"/>
    <w:rsid w:val="0051791D"/>
    <w:rsid w:val="00520D6D"/>
    <w:rsid w:val="0052286C"/>
    <w:rsid w:val="00523148"/>
    <w:rsid w:val="005236F2"/>
    <w:rsid w:val="00523E75"/>
    <w:rsid w:val="005243E0"/>
    <w:rsid w:val="00524A38"/>
    <w:rsid w:val="005256F3"/>
    <w:rsid w:val="00525B2D"/>
    <w:rsid w:val="00525F32"/>
    <w:rsid w:val="005262E3"/>
    <w:rsid w:val="005265A3"/>
    <w:rsid w:val="00526783"/>
    <w:rsid w:val="00526D15"/>
    <w:rsid w:val="0052721C"/>
    <w:rsid w:val="0052785B"/>
    <w:rsid w:val="00527C99"/>
    <w:rsid w:val="00527FB1"/>
    <w:rsid w:val="005303D3"/>
    <w:rsid w:val="005314C5"/>
    <w:rsid w:val="0053162F"/>
    <w:rsid w:val="00531777"/>
    <w:rsid w:val="0053281C"/>
    <w:rsid w:val="00532877"/>
    <w:rsid w:val="005333FE"/>
    <w:rsid w:val="005340C9"/>
    <w:rsid w:val="0053449F"/>
    <w:rsid w:val="0053522D"/>
    <w:rsid w:val="00535AF7"/>
    <w:rsid w:val="00536188"/>
    <w:rsid w:val="0053752A"/>
    <w:rsid w:val="005375FE"/>
    <w:rsid w:val="00537DE2"/>
    <w:rsid w:val="0054044B"/>
    <w:rsid w:val="00541035"/>
    <w:rsid w:val="005420DE"/>
    <w:rsid w:val="00542249"/>
    <w:rsid w:val="0054226C"/>
    <w:rsid w:val="005431F5"/>
    <w:rsid w:val="00543707"/>
    <w:rsid w:val="00543EBB"/>
    <w:rsid w:val="00544213"/>
    <w:rsid w:val="005453F3"/>
    <w:rsid w:val="00545549"/>
    <w:rsid w:val="005463D1"/>
    <w:rsid w:val="005467DC"/>
    <w:rsid w:val="005469F5"/>
    <w:rsid w:val="00547495"/>
    <w:rsid w:val="005503A9"/>
    <w:rsid w:val="00550751"/>
    <w:rsid w:val="0055132D"/>
    <w:rsid w:val="005518ED"/>
    <w:rsid w:val="00552093"/>
    <w:rsid w:val="00553020"/>
    <w:rsid w:val="0055343D"/>
    <w:rsid w:val="00553C38"/>
    <w:rsid w:val="00554CD1"/>
    <w:rsid w:val="00554E4B"/>
    <w:rsid w:val="00555F67"/>
    <w:rsid w:val="00556605"/>
    <w:rsid w:val="0055723C"/>
    <w:rsid w:val="005606A4"/>
    <w:rsid w:val="005607B8"/>
    <w:rsid w:val="00560CF5"/>
    <w:rsid w:val="0056272D"/>
    <w:rsid w:val="0056282B"/>
    <w:rsid w:val="00562BAB"/>
    <w:rsid w:val="0056308E"/>
    <w:rsid w:val="005638C1"/>
    <w:rsid w:val="0056415C"/>
    <w:rsid w:val="00564957"/>
    <w:rsid w:val="005649BF"/>
    <w:rsid w:val="005650ED"/>
    <w:rsid w:val="0056540D"/>
    <w:rsid w:val="00565869"/>
    <w:rsid w:val="00566671"/>
    <w:rsid w:val="00566FDC"/>
    <w:rsid w:val="00567415"/>
    <w:rsid w:val="00567610"/>
    <w:rsid w:val="0057047A"/>
    <w:rsid w:val="00570AE6"/>
    <w:rsid w:val="00570C3A"/>
    <w:rsid w:val="00570D9F"/>
    <w:rsid w:val="00571CA8"/>
    <w:rsid w:val="00571F56"/>
    <w:rsid w:val="00571FB9"/>
    <w:rsid w:val="00574771"/>
    <w:rsid w:val="005758DF"/>
    <w:rsid w:val="00575990"/>
    <w:rsid w:val="00575F4F"/>
    <w:rsid w:val="00576402"/>
    <w:rsid w:val="00576A4A"/>
    <w:rsid w:val="00580793"/>
    <w:rsid w:val="00580AE7"/>
    <w:rsid w:val="00581470"/>
    <w:rsid w:val="00581893"/>
    <w:rsid w:val="005818E0"/>
    <w:rsid w:val="00582087"/>
    <w:rsid w:val="005826F7"/>
    <w:rsid w:val="00582D86"/>
    <w:rsid w:val="005831DD"/>
    <w:rsid w:val="00584320"/>
    <w:rsid w:val="0058436F"/>
    <w:rsid w:val="005846A5"/>
    <w:rsid w:val="00585484"/>
    <w:rsid w:val="00587229"/>
    <w:rsid w:val="00587503"/>
    <w:rsid w:val="00587653"/>
    <w:rsid w:val="005877C3"/>
    <w:rsid w:val="00587F7F"/>
    <w:rsid w:val="00590530"/>
    <w:rsid w:val="00590E8D"/>
    <w:rsid w:val="00591511"/>
    <w:rsid w:val="00591DA3"/>
    <w:rsid w:val="00592F00"/>
    <w:rsid w:val="0059331A"/>
    <w:rsid w:val="0059378B"/>
    <w:rsid w:val="00595117"/>
    <w:rsid w:val="00595389"/>
    <w:rsid w:val="00596BBA"/>
    <w:rsid w:val="00597272"/>
    <w:rsid w:val="005972F8"/>
    <w:rsid w:val="005975C4"/>
    <w:rsid w:val="005976E0"/>
    <w:rsid w:val="00597ED8"/>
    <w:rsid w:val="005A08F4"/>
    <w:rsid w:val="005A11D4"/>
    <w:rsid w:val="005A26AB"/>
    <w:rsid w:val="005A2D6D"/>
    <w:rsid w:val="005A34D5"/>
    <w:rsid w:val="005A3E12"/>
    <w:rsid w:val="005A423C"/>
    <w:rsid w:val="005A4904"/>
    <w:rsid w:val="005A4959"/>
    <w:rsid w:val="005A515A"/>
    <w:rsid w:val="005A6B33"/>
    <w:rsid w:val="005A6BC4"/>
    <w:rsid w:val="005A704D"/>
    <w:rsid w:val="005A72F0"/>
    <w:rsid w:val="005B09BB"/>
    <w:rsid w:val="005B1FF6"/>
    <w:rsid w:val="005B2B51"/>
    <w:rsid w:val="005B34D4"/>
    <w:rsid w:val="005B3C6D"/>
    <w:rsid w:val="005B3C76"/>
    <w:rsid w:val="005B4045"/>
    <w:rsid w:val="005B49A7"/>
    <w:rsid w:val="005B609E"/>
    <w:rsid w:val="005B621C"/>
    <w:rsid w:val="005B6DF6"/>
    <w:rsid w:val="005B6EA6"/>
    <w:rsid w:val="005B780E"/>
    <w:rsid w:val="005B7B7D"/>
    <w:rsid w:val="005C0F71"/>
    <w:rsid w:val="005C11CE"/>
    <w:rsid w:val="005C16A8"/>
    <w:rsid w:val="005C1948"/>
    <w:rsid w:val="005C245F"/>
    <w:rsid w:val="005C263C"/>
    <w:rsid w:val="005C2679"/>
    <w:rsid w:val="005C3863"/>
    <w:rsid w:val="005C41D4"/>
    <w:rsid w:val="005C4E14"/>
    <w:rsid w:val="005C4FB4"/>
    <w:rsid w:val="005D0079"/>
    <w:rsid w:val="005D059A"/>
    <w:rsid w:val="005D07C5"/>
    <w:rsid w:val="005D1B8C"/>
    <w:rsid w:val="005D1FF8"/>
    <w:rsid w:val="005D39E2"/>
    <w:rsid w:val="005D3AB9"/>
    <w:rsid w:val="005D4302"/>
    <w:rsid w:val="005D430F"/>
    <w:rsid w:val="005D4590"/>
    <w:rsid w:val="005D5451"/>
    <w:rsid w:val="005D5A20"/>
    <w:rsid w:val="005D786C"/>
    <w:rsid w:val="005D7B91"/>
    <w:rsid w:val="005E009A"/>
    <w:rsid w:val="005E00E5"/>
    <w:rsid w:val="005E049F"/>
    <w:rsid w:val="005E0C01"/>
    <w:rsid w:val="005E0EE1"/>
    <w:rsid w:val="005E10BA"/>
    <w:rsid w:val="005E2388"/>
    <w:rsid w:val="005E3073"/>
    <w:rsid w:val="005E316A"/>
    <w:rsid w:val="005E4C9B"/>
    <w:rsid w:val="005E4FFA"/>
    <w:rsid w:val="005E5E1A"/>
    <w:rsid w:val="005E6C16"/>
    <w:rsid w:val="005F0108"/>
    <w:rsid w:val="005F0ECC"/>
    <w:rsid w:val="005F21A5"/>
    <w:rsid w:val="005F2470"/>
    <w:rsid w:val="005F28C6"/>
    <w:rsid w:val="005F3F16"/>
    <w:rsid w:val="005F467B"/>
    <w:rsid w:val="005F4C14"/>
    <w:rsid w:val="005F52CC"/>
    <w:rsid w:val="005F5E6F"/>
    <w:rsid w:val="005F62CD"/>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3EA"/>
    <w:rsid w:val="00607947"/>
    <w:rsid w:val="00607D81"/>
    <w:rsid w:val="00610747"/>
    <w:rsid w:val="00610E03"/>
    <w:rsid w:val="00610E35"/>
    <w:rsid w:val="0061176E"/>
    <w:rsid w:val="00611A5A"/>
    <w:rsid w:val="006123A3"/>
    <w:rsid w:val="006126C5"/>
    <w:rsid w:val="006127A6"/>
    <w:rsid w:val="006131CB"/>
    <w:rsid w:val="0061417F"/>
    <w:rsid w:val="00614CD1"/>
    <w:rsid w:val="00614EAB"/>
    <w:rsid w:val="0061567B"/>
    <w:rsid w:val="0061575B"/>
    <w:rsid w:val="00615BEA"/>
    <w:rsid w:val="006176DB"/>
    <w:rsid w:val="00620687"/>
    <w:rsid w:val="00621039"/>
    <w:rsid w:val="0062152A"/>
    <w:rsid w:val="00621E3C"/>
    <w:rsid w:val="00622FCB"/>
    <w:rsid w:val="0062326F"/>
    <w:rsid w:val="00623529"/>
    <w:rsid w:val="00623583"/>
    <w:rsid w:val="00623BA5"/>
    <w:rsid w:val="00624049"/>
    <w:rsid w:val="00624477"/>
    <w:rsid w:val="006244E3"/>
    <w:rsid w:val="0062462F"/>
    <w:rsid w:val="00624BA1"/>
    <w:rsid w:val="0062661B"/>
    <w:rsid w:val="0062796B"/>
    <w:rsid w:val="00627991"/>
    <w:rsid w:val="00630118"/>
    <w:rsid w:val="00630959"/>
    <w:rsid w:val="006310AE"/>
    <w:rsid w:val="00631762"/>
    <w:rsid w:val="00632196"/>
    <w:rsid w:val="00633BF2"/>
    <w:rsid w:val="00633F67"/>
    <w:rsid w:val="006345C3"/>
    <w:rsid w:val="00634DE3"/>
    <w:rsid w:val="006362F9"/>
    <w:rsid w:val="006369A9"/>
    <w:rsid w:val="006373AA"/>
    <w:rsid w:val="006373CD"/>
    <w:rsid w:val="006379FB"/>
    <w:rsid w:val="006403AC"/>
    <w:rsid w:val="0064087D"/>
    <w:rsid w:val="00640BB2"/>
    <w:rsid w:val="0064165D"/>
    <w:rsid w:val="006433BD"/>
    <w:rsid w:val="00643606"/>
    <w:rsid w:val="00643784"/>
    <w:rsid w:val="00644186"/>
    <w:rsid w:val="00644A21"/>
    <w:rsid w:val="00644B4F"/>
    <w:rsid w:val="00644D21"/>
    <w:rsid w:val="00645C9F"/>
    <w:rsid w:val="00646305"/>
    <w:rsid w:val="006468A1"/>
    <w:rsid w:val="00646A6C"/>
    <w:rsid w:val="006472D8"/>
    <w:rsid w:val="006475E6"/>
    <w:rsid w:val="006508B9"/>
    <w:rsid w:val="00650CA1"/>
    <w:rsid w:val="0065115C"/>
    <w:rsid w:val="00651854"/>
    <w:rsid w:val="006519F8"/>
    <w:rsid w:val="00653471"/>
    <w:rsid w:val="00653681"/>
    <w:rsid w:val="00653809"/>
    <w:rsid w:val="006539E8"/>
    <w:rsid w:val="006550C0"/>
    <w:rsid w:val="00655E51"/>
    <w:rsid w:val="00656306"/>
    <w:rsid w:val="006565D8"/>
    <w:rsid w:val="00656649"/>
    <w:rsid w:val="00656B96"/>
    <w:rsid w:val="00656CF4"/>
    <w:rsid w:val="00656ED9"/>
    <w:rsid w:val="0065714B"/>
    <w:rsid w:val="0065736B"/>
    <w:rsid w:val="00657AE5"/>
    <w:rsid w:val="00657C5F"/>
    <w:rsid w:val="0066025B"/>
    <w:rsid w:val="0066060C"/>
    <w:rsid w:val="006611B8"/>
    <w:rsid w:val="006619B0"/>
    <w:rsid w:val="00662012"/>
    <w:rsid w:val="00662543"/>
    <w:rsid w:val="006626D0"/>
    <w:rsid w:val="00663BF2"/>
    <w:rsid w:val="00663EAE"/>
    <w:rsid w:val="00664341"/>
    <w:rsid w:val="006643BE"/>
    <w:rsid w:val="00664E8C"/>
    <w:rsid w:val="00665138"/>
    <w:rsid w:val="0066528A"/>
    <w:rsid w:val="00665F7C"/>
    <w:rsid w:val="006663CF"/>
    <w:rsid w:val="0066699A"/>
    <w:rsid w:val="00666A92"/>
    <w:rsid w:val="00666DFC"/>
    <w:rsid w:val="00666EBB"/>
    <w:rsid w:val="00667385"/>
    <w:rsid w:val="0066779E"/>
    <w:rsid w:val="00670720"/>
    <w:rsid w:val="0067170F"/>
    <w:rsid w:val="00672591"/>
    <w:rsid w:val="0067269D"/>
    <w:rsid w:val="006727C2"/>
    <w:rsid w:val="00672988"/>
    <w:rsid w:val="00672B72"/>
    <w:rsid w:val="00672C64"/>
    <w:rsid w:val="006737CC"/>
    <w:rsid w:val="0067499F"/>
    <w:rsid w:val="00674E6A"/>
    <w:rsid w:val="00675DD6"/>
    <w:rsid w:val="00676A64"/>
    <w:rsid w:val="00677925"/>
    <w:rsid w:val="00677A6E"/>
    <w:rsid w:val="0068043E"/>
    <w:rsid w:val="00680F46"/>
    <w:rsid w:val="00681FDC"/>
    <w:rsid w:val="006823EC"/>
    <w:rsid w:val="006829E8"/>
    <w:rsid w:val="00682B53"/>
    <w:rsid w:val="00682F27"/>
    <w:rsid w:val="006839E6"/>
    <w:rsid w:val="00683F93"/>
    <w:rsid w:val="00684FD7"/>
    <w:rsid w:val="006868C1"/>
    <w:rsid w:val="006869CD"/>
    <w:rsid w:val="006878E1"/>
    <w:rsid w:val="00690088"/>
    <w:rsid w:val="0069011A"/>
    <w:rsid w:val="006901EE"/>
    <w:rsid w:val="00690E2E"/>
    <w:rsid w:val="006915D7"/>
    <w:rsid w:val="006923D4"/>
    <w:rsid w:val="006927AC"/>
    <w:rsid w:val="00692814"/>
    <w:rsid w:val="006932DF"/>
    <w:rsid w:val="006932E7"/>
    <w:rsid w:val="00693347"/>
    <w:rsid w:val="0069334C"/>
    <w:rsid w:val="006955E9"/>
    <w:rsid w:val="006960DC"/>
    <w:rsid w:val="006968CB"/>
    <w:rsid w:val="00696D63"/>
    <w:rsid w:val="006A032F"/>
    <w:rsid w:val="006A04A0"/>
    <w:rsid w:val="006A1CF7"/>
    <w:rsid w:val="006A41AE"/>
    <w:rsid w:val="006A4856"/>
    <w:rsid w:val="006A4E90"/>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B6034"/>
    <w:rsid w:val="006C08C5"/>
    <w:rsid w:val="006C11DD"/>
    <w:rsid w:val="006C1445"/>
    <w:rsid w:val="006C17A2"/>
    <w:rsid w:val="006C2392"/>
    <w:rsid w:val="006C2D65"/>
    <w:rsid w:val="006C3959"/>
    <w:rsid w:val="006C3B36"/>
    <w:rsid w:val="006C43E6"/>
    <w:rsid w:val="006C45B2"/>
    <w:rsid w:val="006C4FC1"/>
    <w:rsid w:val="006C51A5"/>
    <w:rsid w:val="006C529D"/>
    <w:rsid w:val="006C6685"/>
    <w:rsid w:val="006C7CC9"/>
    <w:rsid w:val="006C7D45"/>
    <w:rsid w:val="006D06A1"/>
    <w:rsid w:val="006D0A81"/>
    <w:rsid w:val="006D0B24"/>
    <w:rsid w:val="006D0E6B"/>
    <w:rsid w:val="006D1073"/>
    <w:rsid w:val="006D2146"/>
    <w:rsid w:val="006D27F1"/>
    <w:rsid w:val="006D3D56"/>
    <w:rsid w:val="006D44B6"/>
    <w:rsid w:val="006D4E7A"/>
    <w:rsid w:val="006D632E"/>
    <w:rsid w:val="006D6CA7"/>
    <w:rsid w:val="006D712F"/>
    <w:rsid w:val="006D77FA"/>
    <w:rsid w:val="006E01FF"/>
    <w:rsid w:val="006E094A"/>
    <w:rsid w:val="006E12B1"/>
    <w:rsid w:val="006E13D1"/>
    <w:rsid w:val="006E15F1"/>
    <w:rsid w:val="006E1C1E"/>
    <w:rsid w:val="006E283E"/>
    <w:rsid w:val="006E2F8C"/>
    <w:rsid w:val="006E46C6"/>
    <w:rsid w:val="006E4D0C"/>
    <w:rsid w:val="006E4D1B"/>
    <w:rsid w:val="006E509A"/>
    <w:rsid w:val="006E5B78"/>
    <w:rsid w:val="006E6BA3"/>
    <w:rsid w:val="006F0024"/>
    <w:rsid w:val="006F01EB"/>
    <w:rsid w:val="006F0D1F"/>
    <w:rsid w:val="006F1116"/>
    <w:rsid w:val="006F1206"/>
    <w:rsid w:val="006F150C"/>
    <w:rsid w:val="006F3196"/>
    <w:rsid w:val="006F3489"/>
    <w:rsid w:val="006F3C54"/>
    <w:rsid w:val="006F3D76"/>
    <w:rsid w:val="006F4ACC"/>
    <w:rsid w:val="006F4F99"/>
    <w:rsid w:val="006F5E64"/>
    <w:rsid w:val="006F60DE"/>
    <w:rsid w:val="006F6890"/>
    <w:rsid w:val="006F6BBD"/>
    <w:rsid w:val="006F7914"/>
    <w:rsid w:val="006F7920"/>
    <w:rsid w:val="006F7B8B"/>
    <w:rsid w:val="006F7E46"/>
    <w:rsid w:val="007002E4"/>
    <w:rsid w:val="00700AB4"/>
    <w:rsid w:val="00700FCA"/>
    <w:rsid w:val="00701645"/>
    <w:rsid w:val="00701678"/>
    <w:rsid w:val="00702579"/>
    <w:rsid w:val="007027E0"/>
    <w:rsid w:val="00702BAF"/>
    <w:rsid w:val="00702D5A"/>
    <w:rsid w:val="00702EF7"/>
    <w:rsid w:val="00702FA5"/>
    <w:rsid w:val="007034BE"/>
    <w:rsid w:val="00703989"/>
    <w:rsid w:val="007042E9"/>
    <w:rsid w:val="007044E2"/>
    <w:rsid w:val="007045DA"/>
    <w:rsid w:val="007046D0"/>
    <w:rsid w:val="00707690"/>
    <w:rsid w:val="0071118B"/>
    <w:rsid w:val="007112AA"/>
    <w:rsid w:val="007115D2"/>
    <w:rsid w:val="00711E13"/>
    <w:rsid w:val="00712564"/>
    <w:rsid w:val="00712EDA"/>
    <w:rsid w:val="007136D0"/>
    <w:rsid w:val="0071528E"/>
    <w:rsid w:val="007155A9"/>
    <w:rsid w:val="007158E1"/>
    <w:rsid w:val="00715B25"/>
    <w:rsid w:val="0071705B"/>
    <w:rsid w:val="0071740A"/>
    <w:rsid w:val="00717966"/>
    <w:rsid w:val="00720505"/>
    <w:rsid w:val="0072163A"/>
    <w:rsid w:val="007236A3"/>
    <w:rsid w:val="007239B6"/>
    <w:rsid w:val="0072490A"/>
    <w:rsid w:val="0072517D"/>
    <w:rsid w:val="00725509"/>
    <w:rsid w:val="00726878"/>
    <w:rsid w:val="0072791B"/>
    <w:rsid w:val="00727AD2"/>
    <w:rsid w:val="00727C98"/>
    <w:rsid w:val="00730D02"/>
    <w:rsid w:val="0073124A"/>
    <w:rsid w:val="007317FF"/>
    <w:rsid w:val="00731B79"/>
    <w:rsid w:val="00733893"/>
    <w:rsid w:val="00733BA5"/>
    <w:rsid w:val="00734A05"/>
    <w:rsid w:val="00735C6F"/>
    <w:rsid w:val="00735EF5"/>
    <w:rsid w:val="00735F4F"/>
    <w:rsid w:val="007366CF"/>
    <w:rsid w:val="007375DE"/>
    <w:rsid w:val="00737701"/>
    <w:rsid w:val="007408D5"/>
    <w:rsid w:val="00741C59"/>
    <w:rsid w:val="00742422"/>
    <w:rsid w:val="00742B44"/>
    <w:rsid w:val="00742FA7"/>
    <w:rsid w:val="007435FA"/>
    <w:rsid w:val="007445A2"/>
    <w:rsid w:val="00745540"/>
    <w:rsid w:val="0074655A"/>
    <w:rsid w:val="007469B7"/>
    <w:rsid w:val="00747389"/>
    <w:rsid w:val="00747640"/>
    <w:rsid w:val="007476A2"/>
    <w:rsid w:val="0075188E"/>
    <w:rsid w:val="00751B3B"/>
    <w:rsid w:val="00751B6F"/>
    <w:rsid w:val="00753287"/>
    <w:rsid w:val="00753BB5"/>
    <w:rsid w:val="00753F6C"/>
    <w:rsid w:val="007547B2"/>
    <w:rsid w:val="0075660B"/>
    <w:rsid w:val="00756832"/>
    <w:rsid w:val="00757276"/>
    <w:rsid w:val="0075741E"/>
    <w:rsid w:val="0076266E"/>
    <w:rsid w:val="007626D0"/>
    <w:rsid w:val="007648A5"/>
    <w:rsid w:val="007651CA"/>
    <w:rsid w:val="007659FD"/>
    <w:rsid w:val="00765B5D"/>
    <w:rsid w:val="00767519"/>
    <w:rsid w:val="00767EE3"/>
    <w:rsid w:val="007704E1"/>
    <w:rsid w:val="00771221"/>
    <w:rsid w:val="007719F8"/>
    <w:rsid w:val="00772569"/>
    <w:rsid w:val="00772E8C"/>
    <w:rsid w:val="007730D8"/>
    <w:rsid w:val="0077311E"/>
    <w:rsid w:val="007736D3"/>
    <w:rsid w:val="00773889"/>
    <w:rsid w:val="00773B54"/>
    <w:rsid w:val="00774502"/>
    <w:rsid w:val="0077500F"/>
    <w:rsid w:val="0077548E"/>
    <w:rsid w:val="0077580E"/>
    <w:rsid w:val="00776388"/>
    <w:rsid w:val="007767E0"/>
    <w:rsid w:val="00776CB9"/>
    <w:rsid w:val="00777315"/>
    <w:rsid w:val="0077767A"/>
    <w:rsid w:val="007802E4"/>
    <w:rsid w:val="00780919"/>
    <w:rsid w:val="0078110F"/>
    <w:rsid w:val="00781897"/>
    <w:rsid w:val="007826C8"/>
    <w:rsid w:val="00782972"/>
    <w:rsid w:val="0078334B"/>
    <w:rsid w:val="00784190"/>
    <w:rsid w:val="0078457B"/>
    <w:rsid w:val="00784756"/>
    <w:rsid w:val="007852C7"/>
    <w:rsid w:val="0078539D"/>
    <w:rsid w:val="007856C1"/>
    <w:rsid w:val="0078656D"/>
    <w:rsid w:val="00786CC4"/>
    <w:rsid w:val="00787051"/>
    <w:rsid w:val="00790002"/>
    <w:rsid w:val="0079018D"/>
    <w:rsid w:val="0079101F"/>
    <w:rsid w:val="00791A00"/>
    <w:rsid w:val="00791BF8"/>
    <w:rsid w:val="00791C6B"/>
    <w:rsid w:val="00791DBA"/>
    <w:rsid w:val="00791E66"/>
    <w:rsid w:val="00792CEE"/>
    <w:rsid w:val="00793144"/>
    <w:rsid w:val="00794C56"/>
    <w:rsid w:val="00794E92"/>
    <w:rsid w:val="0079656A"/>
    <w:rsid w:val="00796971"/>
    <w:rsid w:val="00796D86"/>
    <w:rsid w:val="00796F15"/>
    <w:rsid w:val="007A138F"/>
    <w:rsid w:val="007A1640"/>
    <w:rsid w:val="007A18BA"/>
    <w:rsid w:val="007A1D6A"/>
    <w:rsid w:val="007A2559"/>
    <w:rsid w:val="007A2A57"/>
    <w:rsid w:val="007A2BA0"/>
    <w:rsid w:val="007A2EFD"/>
    <w:rsid w:val="007A36A9"/>
    <w:rsid w:val="007A39DF"/>
    <w:rsid w:val="007A43ED"/>
    <w:rsid w:val="007A4997"/>
    <w:rsid w:val="007A4BDD"/>
    <w:rsid w:val="007A4C98"/>
    <w:rsid w:val="007A544A"/>
    <w:rsid w:val="007A5A21"/>
    <w:rsid w:val="007A66A5"/>
    <w:rsid w:val="007A72EE"/>
    <w:rsid w:val="007A7E9E"/>
    <w:rsid w:val="007B0352"/>
    <w:rsid w:val="007B0397"/>
    <w:rsid w:val="007B056C"/>
    <w:rsid w:val="007B071B"/>
    <w:rsid w:val="007B234D"/>
    <w:rsid w:val="007B3502"/>
    <w:rsid w:val="007B3F32"/>
    <w:rsid w:val="007B44ED"/>
    <w:rsid w:val="007B4730"/>
    <w:rsid w:val="007B491A"/>
    <w:rsid w:val="007B4E9F"/>
    <w:rsid w:val="007B5370"/>
    <w:rsid w:val="007B61F5"/>
    <w:rsid w:val="007B6335"/>
    <w:rsid w:val="007B63FA"/>
    <w:rsid w:val="007B64F0"/>
    <w:rsid w:val="007B73B3"/>
    <w:rsid w:val="007B7496"/>
    <w:rsid w:val="007B7AF5"/>
    <w:rsid w:val="007C0229"/>
    <w:rsid w:val="007C0802"/>
    <w:rsid w:val="007C12BE"/>
    <w:rsid w:val="007C1B2E"/>
    <w:rsid w:val="007C2739"/>
    <w:rsid w:val="007C2D20"/>
    <w:rsid w:val="007C4B0F"/>
    <w:rsid w:val="007C4DAD"/>
    <w:rsid w:val="007C4E9F"/>
    <w:rsid w:val="007C501D"/>
    <w:rsid w:val="007C54DF"/>
    <w:rsid w:val="007C5676"/>
    <w:rsid w:val="007C5830"/>
    <w:rsid w:val="007C5DB8"/>
    <w:rsid w:val="007C6737"/>
    <w:rsid w:val="007C692E"/>
    <w:rsid w:val="007C6CA2"/>
    <w:rsid w:val="007C6F91"/>
    <w:rsid w:val="007C733B"/>
    <w:rsid w:val="007D00F0"/>
    <w:rsid w:val="007D05B2"/>
    <w:rsid w:val="007D0C44"/>
    <w:rsid w:val="007D1972"/>
    <w:rsid w:val="007D1F33"/>
    <w:rsid w:val="007D1F71"/>
    <w:rsid w:val="007D2146"/>
    <w:rsid w:val="007D24BF"/>
    <w:rsid w:val="007D2A0E"/>
    <w:rsid w:val="007D3307"/>
    <w:rsid w:val="007D33DA"/>
    <w:rsid w:val="007D35B4"/>
    <w:rsid w:val="007D432A"/>
    <w:rsid w:val="007D4ACE"/>
    <w:rsid w:val="007D5E27"/>
    <w:rsid w:val="007D6D05"/>
    <w:rsid w:val="007D6F64"/>
    <w:rsid w:val="007D737E"/>
    <w:rsid w:val="007D7D9D"/>
    <w:rsid w:val="007D7FD0"/>
    <w:rsid w:val="007E0B62"/>
    <w:rsid w:val="007E1286"/>
    <w:rsid w:val="007E25AB"/>
    <w:rsid w:val="007E2C70"/>
    <w:rsid w:val="007E331D"/>
    <w:rsid w:val="007E3AC7"/>
    <w:rsid w:val="007E3C7B"/>
    <w:rsid w:val="007E4345"/>
    <w:rsid w:val="007E44E7"/>
    <w:rsid w:val="007E5AC2"/>
    <w:rsid w:val="007E692E"/>
    <w:rsid w:val="007E6999"/>
    <w:rsid w:val="007E79C5"/>
    <w:rsid w:val="007F0036"/>
    <w:rsid w:val="007F0CDC"/>
    <w:rsid w:val="007F143A"/>
    <w:rsid w:val="007F1618"/>
    <w:rsid w:val="007F2398"/>
    <w:rsid w:val="007F2845"/>
    <w:rsid w:val="007F41A0"/>
    <w:rsid w:val="007F43BC"/>
    <w:rsid w:val="007F44D7"/>
    <w:rsid w:val="007F4740"/>
    <w:rsid w:val="007F5CEB"/>
    <w:rsid w:val="007F7662"/>
    <w:rsid w:val="00800229"/>
    <w:rsid w:val="008006C6"/>
    <w:rsid w:val="00800C52"/>
    <w:rsid w:val="00800DC4"/>
    <w:rsid w:val="0080153E"/>
    <w:rsid w:val="008039EB"/>
    <w:rsid w:val="008044DA"/>
    <w:rsid w:val="0080742D"/>
    <w:rsid w:val="008100AC"/>
    <w:rsid w:val="0081151E"/>
    <w:rsid w:val="00812498"/>
    <w:rsid w:val="0081263E"/>
    <w:rsid w:val="008127E6"/>
    <w:rsid w:val="00813308"/>
    <w:rsid w:val="0081336E"/>
    <w:rsid w:val="00813928"/>
    <w:rsid w:val="00814057"/>
    <w:rsid w:val="008145C3"/>
    <w:rsid w:val="00820DC7"/>
    <w:rsid w:val="00820FFB"/>
    <w:rsid w:val="00821698"/>
    <w:rsid w:val="0082183D"/>
    <w:rsid w:val="008221FE"/>
    <w:rsid w:val="00822BF5"/>
    <w:rsid w:val="00824894"/>
    <w:rsid w:val="00824F51"/>
    <w:rsid w:val="00825366"/>
    <w:rsid w:val="00826C7B"/>
    <w:rsid w:val="00826DD9"/>
    <w:rsid w:val="00826E01"/>
    <w:rsid w:val="008277A8"/>
    <w:rsid w:val="008278B6"/>
    <w:rsid w:val="008304F2"/>
    <w:rsid w:val="008307ED"/>
    <w:rsid w:val="00831E08"/>
    <w:rsid w:val="00832918"/>
    <w:rsid w:val="0083350F"/>
    <w:rsid w:val="00834358"/>
    <w:rsid w:val="008346BD"/>
    <w:rsid w:val="00835FB4"/>
    <w:rsid w:val="00836843"/>
    <w:rsid w:val="00836B7A"/>
    <w:rsid w:val="0083733C"/>
    <w:rsid w:val="00837C3C"/>
    <w:rsid w:val="008407D6"/>
    <w:rsid w:val="008409AA"/>
    <w:rsid w:val="00840FB8"/>
    <w:rsid w:val="00841BD4"/>
    <w:rsid w:val="00842529"/>
    <w:rsid w:val="00842F78"/>
    <w:rsid w:val="00843316"/>
    <w:rsid w:val="0084353E"/>
    <w:rsid w:val="00843A7A"/>
    <w:rsid w:val="008447F5"/>
    <w:rsid w:val="00845D44"/>
    <w:rsid w:val="00846292"/>
    <w:rsid w:val="00847885"/>
    <w:rsid w:val="00850413"/>
    <w:rsid w:val="008506E1"/>
    <w:rsid w:val="008515EE"/>
    <w:rsid w:val="008517E9"/>
    <w:rsid w:val="0085248D"/>
    <w:rsid w:val="008528D3"/>
    <w:rsid w:val="00853C8B"/>
    <w:rsid w:val="00854553"/>
    <w:rsid w:val="00855B86"/>
    <w:rsid w:val="008565F1"/>
    <w:rsid w:val="00857774"/>
    <w:rsid w:val="00857984"/>
    <w:rsid w:val="0086026B"/>
    <w:rsid w:val="0086042D"/>
    <w:rsid w:val="00860500"/>
    <w:rsid w:val="00860874"/>
    <w:rsid w:val="00862008"/>
    <w:rsid w:val="00862720"/>
    <w:rsid w:val="008628C8"/>
    <w:rsid w:val="00862B2A"/>
    <w:rsid w:val="008630B9"/>
    <w:rsid w:val="008635BC"/>
    <w:rsid w:val="00863F37"/>
    <w:rsid w:val="0086406B"/>
    <w:rsid w:val="008643CF"/>
    <w:rsid w:val="00864C8C"/>
    <w:rsid w:val="00865264"/>
    <w:rsid w:val="00865F45"/>
    <w:rsid w:val="00866746"/>
    <w:rsid w:val="00866A11"/>
    <w:rsid w:val="00867651"/>
    <w:rsid w:val="00867B48"/>
    <w:rsid w:val="00870D04"/>
    <w:rsid w:val="0087121B"/>
    <w:rsid w:val="008714B6"/>
    <w:rsid w:val="008714DB"/>
    <w:rsid w:val="008743F3"/>
    <w:rsid w:val="0087444A"/>
    <w:rsid w:val="00875139"/>
    <w:rsid w:val="00875410"/>
    <w:rsid w:val="00875659"/>
    <w:rsid w:val="00876BB3"/>
    <w:rsid w:val="008806A0"/>
    <w:rsid w:val="00880783"/>
    <w:rsid w:val="008808D5"/>
    <w:rsid w:val="00880EDF"/>
    <w:rsid w:val="00881B9F"/>
    <w:rsid w:val="00881D4F"/>
    <w:rsid w:val="00881EB3"/>
    <w:rsid w:val="008826D5"/>
    <w:rsid w:val="00882DE6"/>
    <w:rsid w:val="008834AF"/>
    <w:rsid w:val="008838ED"/>
    <w:rsid w:val="00883D4D"/>
    <w:rsid w:val="0088444E"/>
    <w:rsid w:val="0088448E"/>
    <w:rsid w:val="00884A27"/>
    <w:rsid w:val="00884B59"/>
    <w:rsid w:val="008850BA"/>
    <w:rsid w:val="00885125"/>
    <w:rsid w:val="008857F2"/>
    <w:rsid w:val="0088583D"/>
    <w:rsid w:val="00885876"/>
    <w:rsid w:val="00885CD4"/>
    <w:rsid w:val="00886185"/>
    <w:rsid w:val="008861D9"/>
    <w:rsid w:val="0088638C"/>
    <w:rsid w:val="00886EDF"/>
    <w:rsid w:val="00887CEE"/>
    <w:rsid w:val="008908E5"/>
    <w:rsid w:val="00891216"/>
    <w:rsid w:val="0089126F"/>
    <w:rsid w:val="00891F6A"/>
    <w:rsid w:val="00891F81"/>
    <w:rsid w:val="00894FDC"/>
    <w:rsid w:val="008960BE"/>
    <w:rsid w:val="00897FA4"/>
    <w:rsid w:val="008A1094"/>
    <w:rsid w:val="008A16F9"/>
    <w:rsid w:val="008A1844"/>
    <w:rsid w:val="008A1D3E"/>
    <w:rsid w:val="008A4B16"/>
    <w:rsid w:val="008A4D63"/>
    <w:rsid w:val="008A52D1"/>
    <w:rsid w:val="008A6D62"/>
    <w:rsid w:val="008A722A"/>
    <w:rsid w:val="008B11D6"/>
    <w:rsid w:val="008B13E2"/>
    <w:rsid w:val="008B13E9"/>
    <w:rsid w:val="008B2ECF"/>
    <w:rsid w:val="008B3B51"/>
    <w:rsid w:val="008B4057"/>
    <w:rsid w:val="008B40E6"/>
    <w:rsid w:val="008B4145"/>
    <w:rsid w:val="008B42B3"/>
    <w:rsid w:val="008B4CAC"/>
    <w:rsid w:val="008B5290"/>
    <w:rsid w:val="008B5439"/>
    <w:rsid w:val="008B68D1"/>
    <w:rsid w:val="008B6C00"/>
    <w:rsid w:val="008B7848"/>
    <w:rsid w:val="008C0F89"/>
    <w:rsid w:val="008C2B64"/>
    <w:rsid w:val="008C2CFD"/>
    <w:rsid w:val="008C36C2"/>
    <w:rsid w:val="008C3E9C"/>
    <w:rsid w:val="008C4D5E"/>
    <w:rsid w:val="008C50F7"/>
    <w:rsid w:val="008C56C8"/>
    <w:rsid w:val="008C57D6"/>
    <w:rsid w:val="008C603A"/>
    <w:rsid w:val="008C654A"/>
    <w:rsid w:val="008C71C8"/>
    <w:rsid w:val="008D167D"/>
    <w:rsid w:val="008D261F"/>
    <w:rsid w:val="008D2B53"/>
    <w:rsid w:val="008D3640"/>
    <w:rsid w:val="008D441F"/>
    <w:rsid w:val="008D492A"/>
    <w:rsid w:val="008D4B58"/>
    <w:rsid w:val="008D4B8A"/>
    <w:rsid w:val="008D4BBF"/>
    <w:rsid w:val="008D5A2A"/>
    <w:rsid w:val="008D6541"/>
    <w:rsid w:val="008D7D04"/>
    <w:rsid w:val="008D7D7B"/>
    <w:rsid w:val="008E0F52"/>
    <w:rsid w:val="008E183F"/>
    <w:rsid w:val="008E2316"/>
    <w:rsid w:val="008E26FF"/>
    <w:rsid w:val="008E2917"/>
    <w:rsid w:val="008E3322"/>
    <w:rsid w:val="008E34BE"/>
    <w:rsid w:val="008E3CF8"/>
    <w:rsid w:val="008E42F4"/>
    <w:rsid w:val="008E5081"/>
    <w:rsid w:val="008E5307"/>
    <w:rsid w:val="008E5657"/>
    <w:rsid w:val="008E58E9"/>
    <w:rsid w:val="008E5CA2"/>
    <w:rsid w:val="008E5E51"/>
    <w:rsid w:val="008E65F2"/>
    <w:rsid w:val="008E66E2"/>
    <w:rsid w:val="008E6D56"/>
    <w:rsid w:val="008E721F"/>
    <w:rsid w:val="008E7D63"/>
    <w:rsid w:val="008F00DB"/>
    <w:rsid w:val="008F03E0"/>
    <w:rsid w:val="008F0BCD"/>
    <w:rsid w:val="008F110E"/>
    <w:rsid w:val="008F1264"/>
    <w:rsid w:val="008F3161"/>
    <w:rsid w:val="008F47C6"/>
    <w:rsid w:val="008F4A51"/>
    <w:rsid w:val="008F5948"/>
    <w:rsid w:val="008F69CB"/>
    <w:rsid w:val="009006A2"/>
    <w:rsid w:val="009007A5"/>
    <w:rsid w:val="0090102B"/>
    <w:rsid w:val="00901448"/>
    <w:rsid w:val="00901CBE"/>
    <w:rsid w:val="00901E29"/>
    <w:rsid w:val="00903560"/>
    <w:rsid w:val="009036BC"/>
    <w:rsid w:val="0090425F"/>
    <w:rsid w:val="009043FF"/>
    <w:rsid w:val="00905C47"/>
    <w:rsid w:val="00906379"/>
    <w:rsid w:val="0090638B"/>
    <w:rsid w:val="00906393"/>
    <w:rsid w:val="00906CE0"/>
    <w:rsid w:val="009101EA"/>
    <w:rsid w:val="009106FC"/>
    <w:rsid w:val="00910763"/>
    <w:rsid w:val="0091090F"/>
    <w:rsid w:val="00911896"/>
    <w:rsid w:val="009118BB"/>
    <w:rsid w:val="0091191F"/>
    <w:rsid w:val="00913F7F"/>
    <w:rsid w:val="00915B81"/>
    <w:rsid w:val="00915D6B"/>
    <w:rsid w:val="009160DF"/>
    <w:rsid w:val="009162C7"/>
    <w:rsid w:val="0091682C"/>
    <w:rsid w:val="00916EC2"/>
    <w:rsid w:val="0091729F"/>
    <w:rsid w:val="00917924"/>
    <w:rsid w:val="009213BD"/>
    <w:rsid w:val="00924627"/>
    <w:rsid w:val="009249E4"/>
    <w:rsid w:val="009249EB"/>
    <w:rsid w:val="00924D7F"/>
    <w:rsid w:val="00925048"/>
    <w:rsid w:val="009250A8"/>
    <w:rsid w:val="009251C8"/>
    <w:rsid w:val="00925BE6"/>
    <w:rsid w:val="00926F61"/>
    <w:rsid w:val="009277A2"/>
    <w:rsid w:val="00930879"/>
    <w:rsid w:val="009309FB"/>
    <w:rsid w:val="0093123D"/>
    <w:rsid w:val="00932E61"/>
    <w:rsid w:val="00933040"/>
    <w:rsid w:val="009330E9"/>
    <w:rsid w:val="00933AC6"/>
    <w:rsid w:val="00935D15"/>
    <w:rsid w:val="009411FB"/>
    <w:rsid w:val="009414A9"/>
    <w:rsid w:val="00941880"/>
    <w:rsid w:val="00941B71"/>
    <w:rsid w:val="009421AD"/>
    <w:rsid w:val="0094221C"/>
    <w:rsid w:val="009422A9"/>
    <w:rsid w:val="0094262D"/>
    <w:rsid w:val="0094409C"/>
    <w:rsid w:val="00944159"/>
    <w:rsid w:val="009444D9"/>
    <w:rsid w:val="009449B2"/>
    <w:rsid w:val="00944A82"/>
    <w:rsid w:val="0094601F"/>
    <w:rsid w:val="00946C4D"/>
    <w:rsid w:val="00950387"/>
    <w:rsid w:val="009514CC"/>
    <w:rsid w:val="0095285B"/>
    <w:rsid w:val="00953099"/>
    <w:rsid w:val="00953B46"/>
    <w:rsid w:val="00953FE9"/>
    <w:rsid w:val="009544CF"/>
    <w:rsid w:val="0095481C"/>
    <w:rsid w:val="00955097"/>
    <w:rsid w:val="0095569E"/>
    <w:rsid w:val="009559F2"/>
    <w:rsid w:val="009567E6"/>
    <w:rsid w:val="00957076"/>
    <w:rsid w:val="00957132"/>
    <w:rsid w:val="009576FD"/>
    <w:rsid w:val="009578EB"/>
    <w:rsid w:val="009578FF"/>
    <w:rsid w:val="00957E48"/>
    <w:rsid w:val="00960446"/>
    <w:rsid w:val="00960F8D"/>
    <w:rsid w:val="009610ED"/>
    <w:rsid w:val="00961A13"/>
    <w:rsid w:val="00961DDB"/>
    <w:rsid w:val="00961F73"/>
    <w:rsid w:val="00963085"/>
    <w:rsid w:val="009633BB"/>
    <w:rsid w:val="00963563"/>
    <w:rsid w:val="0096485F"/>
    <w:rsid w:val="00965609"/>
    <w:rsid w:val="00966B46"/>
    <w:rsid w:val="0096718D"/>
    <w:rsid w:val="0096726D"/>
    <w:rsid w:val="00967354"/>
    <w:rsid w:val="00970CD1"/>
    <w:rsid w:val="00971592"/>
    <w:rsid w:val="00971DDF"/>
    <w:rsid w:val="00972800"/>
    <w:rsid w:val="009731D6"/>
    <w:rsid w:val="00973643"/>
    <w:rsid w:val="0097448F"/>
    <w:rsid w:val="00974746"/>
    <w:rsid w:val="00974A98"/>
    <w:rsid w:val="00974C40"/>
    <w:rsid w:val="00975119"/>
    <w:rsid w:val="009763B7"/>
    <w:rsid w:val="009766A5"/>
    <w:rsid w:val="00976F04"/>
    <w:rsid w:val="009775E9"/>
    <w:rsid w:val="009777F4"/>
    <w:rsid w:val="00977AD8"/>
    <w:rsid w:val="00980806"/>
    <w:rsid w:val="00980A10"/>
    <w:rsid w:val="00981130"/>
    <w:rsid w:val="00982B5F"/>
    <w:rsid w:val="00982BAF"/>
    <w:rsid w:val="00983038"/>
    <w:rsid w:val="00983A9E"/>
    <w:rsid w:val="00983D46"/>
    <w:rsid w:val="00983DCA"/>
    <w:rsid w:val="00984EC0"/>
    <w:rsid w:val="009852D0"/>
    <w:rsid w:val="00985EF7"/>
    <w:rsid w:val="00986396"/>
    <w:rsid w:val="00986CF9"/>
    <w:rsid w:val="00987416"/>
    <w:rsid w:val="009907E2"/>
    <w:rsid w:val="00990C0E"/>
    <w:rsid w:val="00990D75"/>
    <w:rsid w:val="00991093"/>
    <w:rsid w:val="0099163B"/>
    <w:rsid w:val="00992343"/>
    <w:rsid w:val="00992851"/>
    <w:rsid w:val="00993853"/>
    <w:rsid w:val="009938E4"/>
    <w:rsid w:val="00994D4F"/>
    <w:rsid w:val="00996306"/>
    <w:rsid w:val="0099639D"/>
    <w:rsid w:val="00996744"/>
    <w:rsid w:val="009967DA"/>
    <w:rsid w:val="00996B25"/>
    <w:rsid w:val="00997CF4"/>
    <w:rsid w:val="009A1169"/>
    <w:rsid w:val="009A1AAC"/>
    <w:rsid w:val="009A3789"/>
    <w:rsid w:val="009A40F4"/>
    <w:rsid w:val="009A4818"/>
    <w:rsid w:val="009A4860"/>
    <w:rsid w:val="009A6919"/>
    <w:rsid w:val="009A6AC7"/>
    <w:rsid w:val="009A6CC2"/>
    <w:rsid w:val="009A7831"/>
    <w:rsid w:val="009B0408"/>
    <w:rsid w:val="009B0843"/>
    <w:rsid w:val="009B1E47"/>
    <w:rsid w:val="009B2A54"/>
    <w:rsid w:val="009B2CED"/>
    <w:rsid w:val="009B2E3A"/>
    <w:rsid w:val="009B3338"/>
    <w:rsid w:val="009B345D"/>
    <w:rsid w:val="009B414C"/>
    <w:rsid w:val="009B5A4D"/>
    <w:rsid w:val="009B7321"/>
    <w:rsid w:val="009B7A72"/>
    <w:rsid w:val="009B7BB8"/>
    <w:rsid w:val="009B7DD6"/>
    <w:rsid w:val="009C126A"/>
    <w:rsid w:val="009C1924"/>
    <w:rsid w:val="009C1D4C"/>
    <w:rsid w:val="009C2227"/>
    <w:rsid w:val="009C2DD2"/>
    <w:rsid w:val="009C3031"/>
    <w:rsid w:val="009C3794"/>
    <w:rsid w:val="009C3E56"/>
    <w:rsid w:val="009C441F"/>
    <w:rsid w:val="009C4A07"/>
    <w:rsid w:val="009C4B8E"/>
    <w:rsid w:val="009C5072"/>
    <w:rsid w:val="009C51D5"/>
    <w:rsid w:val="009C543C"/>
    <w:rsid w:val="009C599A"/>
    <w:rsid w:val="009C650E"/>
    <w:rsid w:val="009C683F"/>
    <w:rsid w:val="009C6D80"/>
    <w:rsid w:val="009C70DB"/>
    <w:rsid w:val="009D0D8A"/>
    <w:rsid w:val="009D0E75"/>
    <w:rsid w:val="009D19BC"/>
    <w:rsid w:val="009D2348"/>
    <w:rsid w:val="009D294C"/>
    <w:rsid w:val="009D2F0C"/>
    <w:rsid w:val="009D3578"/>
    <w:rsid w:val="009D3A5F"/>
    <w:rsid w:val="009D5193"/>
    <w:rsid w:val="009D5C32"/>
    <w:rsid w:val="009D6472"/>
    <w:rsid w:val="009D79F4"/>
    <w:rsid w:val="009E001F"/>
    <w:rsid w:val="009E0AE1"/>
    <w:rsid w:val="009E0F34"/>
    <w:rsid w:val="009E1F7A"/>
    <w:rsid w:val="009E2F52"/>
    <w:rsid w:val="009E31A3"/>
    <w:rsid w:val="009E3CD1"/>
    <w:rsid w:val="009E4583"/>
    <w:rsid w:val="009E5988"/>
    <w:rsid w:val="009E5AF5"/>
    <w:rsid w:val="009E5E23"/>
    <w:rsid w:val="009E5EB5"/>
    <w:rsid w:val="009E623F"/>
    <w:rsid w:val="009E74F0"/>
    <w:rsid w:val="009F0768"/>
    <w:rsid w:val="009F12F3"/>
    <w:rsid w:val="009F1BE6"/>
    <w:rsid w:val="009F24B4"/>
    <w:rsid w:val="009F2A71"/>
    <w:rsid w:val="009F4235"/>
    <w:rsid w:val="009F437A"/>
    <w:rsid w:val="009F4A54"/>
    <w:rsid w:val="009F4CC2"/>
    <w:rsid w:val="009F5A63"/>
    <w:rsid w:val="009F5D68"/>
    <w:rsid w:val="009F7867"/>
    <w:rsid w:val="009F7D66"/>
    <w:rsid w:val="00A00BD2"/>
    <w:rsid w:val="00A00CA5"/>
    <w:rsid w:val="00A00E56"/>
    <w:rsid w:val="00A027F3"/>
    <w:rsid w:val="00A02E6D"/>
    <w:rsid w:val="00A02FAD"/>
    <w:rsid w:val="00A032A2"/>
    <w:rsid w:val="00A0395F"/>
    <w:rsid w:val="00A03978"/>
    <w:rsid w:val="00A04782"/>
    <w:rsid w:val="00A0479E"/>
    <w:rsid w:val="00A05DF3"/>
    <w:rsid w:val="00A05EBB"/>
    <w:rsid w:val="00A0670C"/>
    <w:rsid w:val="00A06C09"/>
    <w:rsid w:val="00A07CFA"/>
    <w:rsid w:val="00A07E08"/>
    <w:rsid w:val="00A108F6"/>
    <w:rsid w:val="00A12798"/>
    <w:rsid w:val="00A12BD2"/>
    <w:rsid w:val="00A150AB"/>
    <w:rsid w:val="00A153BE"/>
    <w:rsid w:val="00A153C1"/>
    <w:rsid w:val="00A15C2E"/>
    <w:rsid w:val="00A15DEE"/>
    <w:rsid w:val="00A1611D"/>
    <w:rsid w:val="00A167B5"/>
    <w:rsid w:val="00A168A6"/>
    <w:rsid w:val="00A16B91"/>
    <w:rsid w:val="00A16DBE"/>
    <w:rsid w:val="00A17C4F"/>
    <w:rsid w:val="00A203E6"/>
    <w:rsid w:val="00A20653"/>
    <w:rsid w:val="00A20A39"/>
    <w:rsid w:val="00A220A9"/>
    <w:rsid w:val="00A2219E"/>
    <w:rsid w:val="00A23069"/>
    <w:rsid w:val="00A238BD"/>
    <w:rsid w:val="00A243E4"/>
    <w:rsid w:val="00A2451B"/>
    <w:rsid w:val="00A2459D"/>
    <w:rsid w:val="00A24E23"/>
    <w:rsid w:val="00A25780"/>
    <w:rsid w:val="00A25F05"/>
    <w:rsid w:val="00A25FD6"/>
    <w:rsid w:val="00A264D0"/>
    <w:rsid w:val="00A272F3"/>
    <w:rsid w:val="00A3048F"/>
    <w:rsid w:val="00A311AE"/>
    <w:rsid w:val="00A312A6"/>
    <w:rsid w:val="00A3130E"/>
    <w:rsid w:val="00A31625"/>
    <w:rsid w:val="00A324CF"/>
    <w:rsid w:val="00A32E8B"/>
    <w:rsid w:val="00A32ED6"/>
    <w:rsid w:val="00A33F9C"/>
    <w:rsid w:val="00A344A5"/>
    <w:rsid w:val="00A346C3"/>
    <w:rsid w:val="00A34A89"/>
    <w:rsid w:val="00A35730"/>
    <w:rsid w:val="00A36FF6"/>
    <w:rsid w:val="00A37134"/>
    <w:rsid w:val="00A37381"/>
    <w:rsid w:val="00A37824"/>
    <w:rsid w:val="00A4127D"/>
    <w:rsid w:val="00A417A7"/>
    <w:rsid w:val="00A41E89"/>
    <w:rsid w:val="00A42A88"/>
    <w:rsid w:val="00A42D07"/>
    <w:rsid w:val="00A4393E"/>
    <w:rsid w:val="00A43D85"/>
    <w:rsid w:val="00A446E3"/>
    <w:rsid w:val="00A450C0"/>
    <w:rsid w:val="00A45468"/>
    <w:rsid w:val="00A455F8"/>
    <w:rsid w:val="00A459BA"/>
    <w:rsid w:val="00A4791B"/>
    <w:rsid w:val="00A503E3"/>
    <w:rsid w:val="00A50679"/>
    <w:rsid w:val="00A50A48"/>
    <w:rsid w:val="00A51242"/>
    <w:rsid w:val="00A5124F"/>
    <w:rsid w:val="00A51522"/>
    <w:rsid w:val="00A51573"/>
    <w:rsid w:val="00A51A5E"/>
    <w:rsid w:val="00A52895"/>
    <w:rsid w:val="00A531DB"/>
    <w:rsid w:val="00A53419"/>
    <w:rsid w:val="00A53680"/>
    <w:rsid w:val="00A53A05"/>
    <w:rsid w:val="00A53DA0"/>
    <w:rsid w:val="00A554D5"/>
    <w:rsid w:val="00A56C4B"/>
    <w:rsid w:val="00A5765D"/>
    <w:rsid w:val="00A6046A"/>
    <w:rsid w:val="00A607CB"/>
    <w:rsid w:val="00A60FF0"/>
    <w:rsid w:val="00A60FFE"/>
    <w:rsid w:val="00A6351F"/>
    <w:rsid w:val="00A636D0"/>
    <w:rsid w:val="00A63EF0"/>
    <w:rsid w:val="00A643E0"/>
    <w:rsid w:val="00A64AE7"/>
    <w:rsid w:val="00A65A70"/>
    <w:rsid w:val="00A65B65"/>
    <w:rsid w:val="00A66F36"/>
    <w:rsid w:val="00A676D9"/>
    <w:rsid w:val="00A67EFC"/>
    <w:rsid w:val="00A70145"/>
    <w:rsid w:val="00A7031E"/>
    <w:rsid w:val="00A70759"/>
    <w:rsid w:val="00A71140"/>
    <w:rsid w:val="00A718A0"/>
    <w:rsid w:val="00A72B7B"/>
    <w:rsid w:val="00A73D75"/>
    <w:rsid w:val="00A740E3"/>
    <w:rsid w:val="00A74354"/>
    <w:rsid w:val="00A74692"/>
    <w:rsid w:val="00A75E61"/>
    <w:rsid w:val="00A75FC9"/>
    <w:rsid w:val="00A7618B"/>
    <w:rsid w:val="00A7625F"/>
    <w:rsid w:val="00A7640B"/>
    <w:rsid w:val="00A77398"/>
    <w:rsid w:val="00A7778B"/>
    <w:rsid w:val="00A803BC"/>
    <w:rsid w:val="00A80969"/>
    <w:rsid w:val="00A80C68"/>
    <w:rsid w:val="00A81202"/>
    <w:rsid w:val="00A8444E"/>
    <w:rsid w:val="00A84805"/>
    <w:rsid w:val="00A858C5"/>
    <w:rsid w:val="00A8656E"/>
    <w:rsid w:val="00A86B1F"/>
    <w:rsid w:val="00A86EA7"/>
    <w:rsid w:val="00A87C77"/>
    <w:rsid w:val="00A90A2D"/>
    <w:rsid w:val="00A9122A"/>
    <w:rsid w:val="00A91244"/>
    <w:rsid w:val="00A91314"/>
    <w:rsid w:val="00A91AA1"/>
    <w:rsid w:val="00A92776"/>
    <w:rsid w:val="00A93181"/>
    <w:rsid w:val="00A9342C"/>
    <w:rsid w:val="00A9349F"/>
    <w:rsid w:val="00A938E6"/>
    <w:rsid w:val="00A93CCF"/>
    <w:rsid w:val="00A95BD5"/>
    <w:rsid w:val="00A96F78"/>
    <w:rsid w:val="00AA00C6"/>
    <w:rsid w:val="00AA0117"/>
    <w:rsid w:val="00AA1087"/>
    <w:rsid w:val="00AA25A9"/>
    <w:rsid w:val="00AA26D9"/>
    <w:rsid w:val="00AA27F5"/>
    <w:rsid w:val="00AA3DEA"/>
    <w:rsid w:val="00AA4684"/>
    <w:rsid w:val="00AA4AE2"/>
    <w:rsid w:val="00AA51AD"/>
    <w:rsid w:val="00AA591E"/>
    <w:rsid w:val="00AA65C9"/>
    <w:rsid w:val="00AB0A32"/>
    <w:rsid w:val="00AB0E56"/>
    <w:rsid w:val="00AB3A15"/>
    <w:rsid w:val="00AB3EE7"/>
    <w:rsid w:val="00AB4ECC"/>
    <w:rsid w:val="00AB531B"/>
    <w:rsid w:val="00AB5C76"/>
    <w:rsid w:val="00AB6601"/>
    <w:rsid w:val="00AB674E"/>
    <w:rsid w:val="00AB6D63"/>
    <w:rsid w:val="00AB6D79"/>
    <w:rsid w:val="00AB6F48"/>
    <w:rsid w:val="00AB7806"/>
    <w:rsid w:val="00AC02C1"/>
    <w:rsid w:val="00AC0956"/>
    <w:rsid w:val="00AC0A73"/>
    <w:rsid w:val="00AC0AB6"/>
    <w:rsid w:val="00AC0C71"/>
    <w:rsid w:val="00AC10AD"/>
    <w:rsid w:val="00AC117A"/>
    <w:rsid w:val="00AC12AA"/>
    <w:rsid w:val="00AC14F1"/>
    <w:rsid w:val="00AC162B"/>
    <w:rsid w:val="00AC1E55"/>
    <w:rsid w:val="00AC429F"/>
    <w:rsid w:val="00AC5F27"/>
    <w:rsid w:val="00AC60B4"/>
    <w:rsid w:val="00AD00C5"/>
    <w:rsid w:val="00AD085F"/>
    <w:rsid w:val="00AD165F"/>
    <w:rsid w:val="00AD2794"/>
    <w:rsid w:val="00AD2DC5"/>
    <w:rsid w:val="00AD3455"/>
    <w:rsid w:val="00AD3CAD"/>
    <w:rsid w:val="00AD3D24"/>
    <w:rsid w:val="00AD4077"/>
    <w:rsid w:val="00AD61F5"/>
    <w:rsid w:val="00AD6701"/>
    <w:rsid w:val="00AD69EF"/>
    <w:rsid w:val="00AD69FF"/>
    <w:rsid w:val="00AD6F67"/>
    <w:rsid w:val="00AD702B"/>
    <w:rsid w:val="00AD72E6"/>
    <w:rsid w:val="00AD7311"/>
    <w:rsid w:val="00AD7C95"/>
    <w:rsid w:val="00AE0354"/>
    <w:rsid w:val="00AE0960"/>
    <w:rsid w:val="00AE0A7D"/>
    <w:rsid w:val="00AE10A1"/>
    <w:rsid w:val="00AE1257"/>
    <w:rsid w:val="00AE1498"/>
    <w:rsid w:val="00AE2FF8"/>
    <w:rsid w:val="00AE3DE1"/>
    <w:rsid w:val="00AE44AC"/>
    <w:rsid w:val="00AE4E1A"/>
    <w:rsid w:val="00AE66BC"/>
    <w:rsid w:val="00AE6E76"/>
    <w:rsid w:val="00AE7527"/>
    <w:rsid w:val="00AF03CF"/>
    <w:rsid w:val="00AF0D3D"/>
    <w:rsid w:val="00AF259C"/>
    <w:rsid w:val="00AF26B0"/>
    <w:rsid w:val="00AF2D54"/>
    <w:rsid w:val="00AF3458"/>
    <w:rsid w:val="00AF3F7B"/>
    <w:rsid w:val="00AF42B4"/>
    <w:rsid w:val="00AF4B8A"/>
    <w:rsid w:val="00AF4F1B"/>
    <w:rsid w:val="00AF53BE"/>
    <w:rsid w:val="00AF5D1E"/>
    <w:rsid w:val="00AF5EC6"/>
    <w:rsid w:val="00AF6B66"/>
    <w:rsid w:val="00AF6E8A"/>
    <w:rsid w:val="00AF6FC5"/>
    <w:rsid w:val="00AF71D9"/>
    <w:rsid w:val="00AF7213"/>
    <w:rsid w:val="00AF7D92"/>
    <w:rsid w:val="00B011CC"/>
    <w:rsid w:val="00B01586"/>
    <w:rsid w:val="00B01A0B"/>
    <w:rsid w:val="00B03340"/>
    <w:rsid w:val="00B03E1A"/>
    <w:rsid w:val="00B04048"/>
    <w:rsid w:val="00B046D0"/>
    <w:rsid w:val="00B04DA6"/>
    <w:rsid w:val="00B04F3D"/>
    <w:rsid w:val="00B0519F"/>
    <w:rsid w:val="00B056DF"/>
    <w:rsid w:val="00B05702"/>
    <w:rsid w:val="00B058EC"/>
    <w:rsid w:val="00B05FA6"/>
    <w:rsid w:val="00B0606F"/>
    <w:rsid w:val="00B06835"/>
    <w:rsid w:val="00B06DD9"/>
    <w:rsid w:val="00B07904"/>
    <w:rsid w:val="00B07B98"/>
    <w:rsid w:val="00B07CD6"/>
    <w:rsid w:val="00B07E52"/>
    <w:rsid w:val="00B07F7F"/>
    <w:rsid w:val="00B10010"/>
    <w:rsid w:val="00B114B9"/>
    <w:rsid w:val="00B11775"/>
    <w:rsid w:val="00B11AFC"/>
    <w:rsid w:val="00B11B81"/>
    <w:rsid w:val="00B1215E"/>
    <w:rsid w:val="00B123B5"/>
    <w:rsid w:val="00B12660"/>
    <w:rsid w:val="00B1298F"/>
    <w:rsid w:val="00B1302D"/>
    <w:rsid w:val="00B132C8"/>
    <w:rsid w:val="00B139AC"/>
    <w:rsid w:val="00B13B77"/>
    <w:rsid w:val="00B149A6"/>
    <w:rsid w:val="00B14DC2"/>
    <w:rsid w:val="00B1513F"/>
    <w:rsid w:val="00B15B31"/>
    <w:rsid w:val="00B15B89"/>
    <w:rsid w:val="00B1746F"/>
    <w:rsid w:val="00B17EA8"/>
    <w:rsid w:val="00B20725"/>
    <w:rsid w:val="00B20B94"/>
    <w:rsid w:val="00B22407"/>
    <w:rsid w:val="00B22CD3"/>
    <w:rsid w:val="00B23414"/>
    <w:rsid w:val="00B23D2E"/>
    <w:rsid w:val="00B23ED4"/>
    <w:rsid w:val="00B2506B"/>
    <w:rsid w:val="00B25454"/>
    <w:rsid w:val="00B2628E"/>
    <w:rsid w:val="00B266B0"/>
    <w:rsid w:val="00B26E28"/>
    <w:rsid w:val="00B27044"/>
    <w:rsid w:val="00B27921"/>
    <w:rsid w:val="00B3000E"/>
    <w:rsid w:val="00B30325"/>
    <w:rsid w:val="00B30B17"/>
    <w:rsid w:val="00B31498"/>
    <w:rsid w:val="00B3162D"/>
    <w:rsid w:val="00B31787"/>
    <w:rsid w:val="00B31BBA"/>
    <w:rsid w:val="00B326A8"/>
    <w:rsid w:val="00B329EB"/>
    <w:rsid w:val="00B33330"/>
    <w:rsid w:val="00B33508"/>
    <w:rsid w:val="00B3377E"/>
    <w:rsid w:val="00B34A99"/>
    <w:rsid w:val="00B34F60"/>
    <w:rsid w:val="00B35BC9"/>
    <w:rsid w:val="00B35DA4"/>
    <w:rsid w:val="00B36B65"/>
    <w:rsid w:val="00B40A96"/>
    <w:rsid w:val="00B4184B"/>
    <w:rsid w:val="00B41C2C"/>
    <w:rsid w:val="00B421B4"/>
    <w:rsid w:val="00B422A7"/>
    <w:rsid w:val="00B4240F"/>
    <w:rsid w:val="00B42A32"/>
    <w:rsid w:val="00B42FA6"/>
    <w:rsid w:val="00B43997"/>
    <w:rsid w:val="00B4399E"/>
    <w:rsid w:val="00B43A16"/>
    <w:rsid w:val="00B43DF8"/>
    <w:rsid w:val="00B452BB"/>
    <w:rsid w:val="00B45C10"/>
    <w:rsid w:val="00B45CE1"/>
    <w:rsid w:val="00B45F8D"/>
    <w:rsid w:val="00B46A75"/>
    <w:rsid w:val="00B46C0E"/>
    <w:rsid w:val="00B46FB7"/>
    <w:rsid w:val="00B47A84"/>
    <w:rsid w:val="00B500CD"/>
    <w:rsid w:val="00B5239C"/>
    <w:rsid w:val="00B52FD2"/>
    <w:rsid w:val="00B53893"/>
    <w:rsid w:val="00B53E5A"/>
    <w:rsid w:val="00B548C2"/>
    <w:rsid w:val="00B55428"/>
    <w:rsid w:val="00B5547E"/>
    <w:rsid w:val="00B555B4"/>
    <w:rsid w:val="00B55E5C"/>
    <w:rsid w:val="00B570BF"/>
    <w:rsid w:val="00B57144"/>
    <w:rsid w:val="00B5729A"/>
    <w:rsid w:val="00B60796"/>
    <w:rsid w:val="00B61081"/>
    <w:rsid w:val="00B61188"/>
    <w:rsid w:val="00B63337"/>
    <w:rsid w:val="00B6339E"/>
    <w:rsid w:val="00B6369F"/>
    <w:rsid w:val="00B639D7"/>
    <w:rsid w:val="00B644CF"/>
    <w:rsid w:val="00B64599"/>
    <w:rsid w:val="00B64AA7"/>
    <w:rsid w:val="00B653EA"/>
    <w:rsid w:val="00B65C7C"/>
    <w:rsid w:val="00B66594"/>
    <w:rsid w:val="00B66E16"/>
    <w:rsid w:val="00B67805"/>
    <w:rsid w:val="00B67C82"/>
    <w:rsid w:val="00B70A76"/>
    <w:rsid w:val="00B7113A"/>
    <w:rsid w:val="00B715E8"/>
    <w:rsid w:val="00B71E32"/>
    <w:rsid w:val="00B721CD"/>
    <w:rsid w:val="00B7267A"/>
    <w:rsid w:val="00B726FF"/>
    <w:rsid w:val="00B7291A"/>
    <w:rsid w:val="00B72AA4"/>
    <w:rsid w:val="00B75454"/>
    <w:rsid w:val="00B76BCD"/>
    <w:rsid w:val="00B76EE9"/>
    <w:rsid w:val="00B7781D"/>
    <w:rsid w:val="00B77880"/>
    <w:rsid w:val="00B77FD9"/>
    <w:rsid w:val="00B80D90"/>
    <w:rsid w:val="00B82537"/>
    <w:rsid w:val="00B82613"/>
    <w:rsid w:val="00B8272A"/>
    <w:rsid w:val="00B828B5"/>
    <w:rsid w:val="00B83B0D"/>
    <w:rsid w:val="00B84E51"/>
    <w:rsid w:val="00B84E9C"/>
    <w:rsid w:val="00B85522"/>
    <w:rsid w:val="00B869DF"/>
    <w:rsid w:val="00B87CE7"/>
    <w:rsid w:val="00B9015D"/>
    <w:rsid w:val="00B90E2A"/>
    <w:rsid w:val="00B90F2A"/>
    <w:rsid w:val="00B912AF"/>
    <w:rsid w:val="00B9198D"/>
    <w:rsid w:val="00B93008"/>
    <w:rsid w:val="00B93A92"/>
    <w:rsid w:val="00B9406D"/>
    <w:rsid w:val="00B944C0"/>
    <w:rsid w:val="00B94BA7"/>
    <w:rsid w:val="00B94BE9"/>
    <w:rsid w:val="00B94C49"/>
    <w:rsid w:val="00B94E0E"/>
    <w:rsid w:val="00B95771"/>
    <w:rsid w:val="00B958AF"/>
    <w:rsid w:val="00B96201"/>
    <w:rsid w:val="00B97430"/>
    <w:rsid w:val="00B976AD"/>
    <w:rsid w:val="00B97CA3"/>
    <w:rsid w:val="00BA004E"/>
    <w:rsid w:val="00BA143E"/>
    <w:rsid w:val="00BA2E84"/>
    <w:rsid w:val="00BA3479"/>
    <w:rsid w:val="00BA3D7B"/>
    <w:rsid w:val="00BA5BDA"/>
    <w:rsid w:val="00BA7129"/>
    <w:rsid w:val="00BA76A9"/>
    <w:rsid w:val="00BA79A3"/>
    <w:rsid w:val="00BB221D"/>
    <w:rsid w:val="00BB22A6"/>
    <w:rsid w:val="00BB28F1"/>
    <w:rsid w:val="00BB2939"/>
    <w:rsid w:val="00BB2EED"/>
    <w:rsid w:val="00BB3E2B"/>
    <w:rsid w:val="00BB4664"/>
    <w:rsid w:val="00BB4B98"/>
    <w:rsid w:val="00BB5043"/>
    <w:rsid w:val="00BB5D1C"/>
    <w:rsid w:val="00BB6552"/>
    <w:rsid w:val="00BB6B9B"/>
    <w:rsid w:val="00BB6C5F"/>
    <w:rsid w:val="00BB754F"/>
    <w:rsid w:val="00BC07D4"/>
    <w:rsid w:val="00BC0A5D"/>
    <w:rsid w:val="00BC0BE3"/>
    <w:rsid w:val="00BC106B"/>
    <w:rsid w:val="00BC1522"/>
    <w:rsid w:val="00BC1AD9"/>
    <w:rsid w:val="00BC2200"/>
    <w:rsid w:val="00BC32E7"/>
    <w:rsid w:val="00BC3AB8"/>
    <w:rsid w:val="00BC478E"/>
    <w:rsid w:val="00BC4811"/>
    <w:rsid w:val="00BC4958"/>
    <w:rsid w:val="00BC52B9"/>
    <w:rsid w:val="00BC58B9"/>
    <w:rsid w:val="00BC5CCB"/>
    <w:rsid w:val="00BC6A49"/>
    <w:rsid w:val="00BC746D"/>
    <w:rsid w:val="00BC7E25"/>
    <w:rsid w:val="00BD04BC"/>
    <w:rsid w:val="00BD0535"/>
    <w:rsid w:val="00BD0E81"/>
    <w:rsid w:val="00BD37B9"/>
    <w:rsid w:val="00BD3E68"/>
    <w:rsid w:val="00BD40B6"/>
    <w:rsid w:val="00BD598A"/>
    <w:rsid w:val="00BD6195"/>
    <w:rsid w:val="00BD692E"/>
    <w:rsid w:val="00BD75B4"/>
    <w:rsid w:val="00BD7BFE"/>
    <w:rsid w:val="00BD7D14"/>
    <w:rsid w:val="00BE02B4"/>
    <w:rsid w:val="00BE0642"/>
    <w:rsid w:val="00BE0A4E"/>
    <w:rsid w:val="00BE1553"/>
    <w:rsid w:val="00BE2797"/>
    <w:rsid w:val="00BE3BE1"/>
    <w:rsid w:val="00BE4EC9"/>
    <w:rsid w:val="00BE5068"/>
    <w:rsid w:val="00BE5A6A"/>
    <w:rsid w:val="00BE631E"/>
    <w:rsid w:val="00BE7D8B"/>
    <w:rsid w:val="00BF0BD4"/>
    <w:rsid w:val="00BF0CCF"/>
    <w:rsid w:val="00BF0F3A"/>
    <w:rsid w:val="00BF0FC5"/>
    <w:rsid w:val="00BF10BC"/>
    <w:rsid w:val="00BF21AC"/>
    <w:rsid w:val="00BF2E53"/>
    <w:rsid w:val="00BF3133"/>
    <w:rsid w:val="00BF3669"/>
    <w:rsid w:val="00BF3C0D"/>
    <w:rsid w:val="00BF50FA"/>
    <w:rsid w:val="00BF711C"/>
    <w:rsid w:val="00BF74BE"/>
    <w:rsid w:val="00BF7C74"/>
    <w:rsid w:val="00C0099E"/>
    <w:rsid w:val="00C00ED8"/>
    <w:rsid w:val="00C0208F"/>
    <w:rsid w:val="00C02367"/>
    <w:rsid w:val="00C02AE2"/>
    <w:rsid w:val="00C02E65"/>
    <w:rsid w:val="00C03309"/>
    <w:rsid w:val="00C03DFE"/>
    <w:rsid w:val="00C03EBF"/>
    <w:rsid w:val="00C05D98"/>
    <w:rsid w:val="00C06207"/>
    <w:rsid w:val="00C067D5"/>
    <w:rsid w:val="00C072FE"/>
    <w:rsid w:val="00C1091D"/>
    <w:rsid w:val="00C10DE9"/>
    <w:rsid w:val="00C10E16"/>
    <w:rsid w:val="00C1174D"/>
    <w:rsid w:val="00C12E39"/>
    <w:rsid w:val="00C131AA"/>
    <w:rsid w:val="00C1339A"/>
    <w:rsid w:val="00C13ECA"/>
    <w:rsid w:val="00C14164"/>
    <w:rsid w:val="00C15D8E"/>
    <w:rsid w:val="00C17012"/>
    <w:rsid w:val="00C178FB"/>
    <w:rsid w:val="00C214B4"/>
    <w:rsid w:val="00C22964"/>
    <w:rsid w:val="00C22B28"/>
    <w:rsid w:val="00C22B5A"/>
    <w:rsid w:val="00C24077"/>
    <w:rsid w:val="00C257B7"/>
    <w:rsid w:val="00C272E8"/>
    <w:rsid w:val="00C309E6"/>
    <w:rsid w:val="00C30B12"/>
    <w:rsid w:val="00C311EC"/>
    <w:rsid w:val="00C320C0"/>
    <w:rsid w:val="00C329FF"/>
    <w:rsid w:val="00C33359"/>
    <w:rsid w:val="00C3368E"/>
    <w:rsid w:val="00C33728"/>
    <w:rsid w:val="00C33F3A"/>
    <w:rsid w:val="00C348D6"/>
    <w:rsid w:val="00C35389"/>
    <w:rsid w:val="00C353AF"/>
    <w:rsid w:val="00C365E7"/>
    <w:rsid w:val="00C36E34"/>
    <w:rsid w:val="00C37D8B"/>
    <w:rsid w:val="00C404EE"/>
    <w:rsid w:val="00C40D2D"/>
    <w:rsid w:val="00C40FC3"/>
    <w:rsid w:val="00C4171B"/>
    <w:rsid w:val="00C42689"/>
    <w:rsid w:val="00C42988"/>
    <w:rsid w:val="00C42BD4"/>
    <w:rsid w:val="00C43547"/>
    <w:rsid w:val="00C43807"/>
    <w:rsid w:val="00C43FF0"/>
    <w:rsid w:val="00C44641"/>
    <w:rsid w:val="00C45EF5"/>
    <w:rsid w:val="00C4609A"/>
    <w:rsid w:val="00C46697"/>
    <w:rsid w:val="00C46773"/>
    <w:rsid w:val="00C46B7E"/>
    <w:rsid w:val="00C47185"/>
    <w:rsid w:val="00C506D8"/>
    <w:rsid w:val="00C50A4E"/>
    <w:rsid w:val="00C50CE4"/>
    <w:rsid w:val="00C51A73"/>
    <w:rsid w:val="00C5206E"/>
    <w:rsid w:val="00C520B1"/>
    <w:rsid w:val="00C522D6"/>
    <w:rsid w:val="00C53A37"/>
    <w:rsid w:val="00C53BBB"/>
    <w:rsid w:val="00C54020"/>
    <w:rsid w:val="00C5406F"/>
    <w:rsid w:val="00C545C5"/>
    <w:rsid w:val="00C54BD7"/>
    <w:rsid w:val="00C55416"/>
    <w:rsid w:val="00C55566"/>
    <w:rsid w:val="00C5587E"/>
    <w:rsid w:val="00C5744D"/>
    <w:rsid w:val="00C576A1"/>
    <w:rsid w:val="00C60237"/>
    <w:rsid w:val="00C6038F"/>
    <w:rsid w:val="00C61323"/>
    <w:rsid w:val="00C61D4B"/>
    <w:rsid w:val="00C62B0A"/>
    <w:rsid w:val="00C6387A"/>
    <w:rsid w:val="00C63F08"/>
    <w:rsid w:val="00C640FE"/>
    <w:rsid w:val="00C6528C"/>
    <w:rsid w:val="00C655E5"/>
    <w:rsid w:val="00C661E8"/>
    <w:rsid w:val="00C6648F"/>
    <w:rsid w:val="00C66652"/>
    <w:rsid w:val="00C67F3F"/>
    <w:rsid w:val="00C70084"/>
    <w:rsid w:val="00C7047F"/>
    <w:rsid w:val="00C70C3C"/>
    <w:rsid w:val="00C7235B"/>
    <w:rsid w:val="00C7260E"/>
    <w:rsid w:val="00C72E18"/>
    <w:rsid w:val="00C731AD"/>
    <w:rsid w:val="00C73553"/>
    <w:rsid w:val="00C7380B"/>
    <w:rsid w:val="00C74421"/>
    <w:rsid w:val="00C74A6D"/>
    <w:rsid w:val="00C7542D"/>
    <w:rsid w:val="00C75520"/>
    <w:rsid w:val="00C75F2F"/>
    <w:rsid w:val="00C75FEE"/>
    <w:rsid w:val="00C760EA"/>
    <w:rsid w:val="00C76F1D"/>
    <w:rsid w:val="00C77202"/>
    <w:rsid w:val="00C77D26"/>
    <w:rsid w:val="00C80767"/>
    <w:rsid w:val="00C807DF"/>
    <w:rsid w:val="00C80BDF"/>
    <w:rsid w:val="00C82CE4"/>
    <w:rsid w:val="00C82DA3"/>
    <w:rsid w:val="00C84046"/>
    <w:rsid w:val="00C84D39"/>
    <w:rsid w:val="00C85277"/>
    <w:rsid w:val="00C8562B"/>
    <w:rsid w:val="00C85910"/>
    <w:rsid w:val="00C85B9D"/>
    <w:rsid w:val="00C85D76"/>
    <w:rsid w:val="00C869A3"/>
    <w:rsid w:val="00C869D0"/>
    <w:rsid w:val="00C873AC"/>
    <w:rsid w:val="00C906C6"/>
    <w:rsid w:val="00C90B0D"/>
    <w:rsid w:val="00C92730"/>
    <w:rsid w:val="00C93462"/>
    <w:rsid w:val="00C94235"/>
    <w:rsid w:val="00C94384"/>
    <w:rsid w:val="00C94A34"/>
    <w:rsid w:val="00C94C2B"/>
    <w:rsid w:val="00C96860"/>
    <w:rsid w:val="00C96F79"/>
    <w:rsid w:val="00C97146"/>
    <w:rsid w:val="00C97CF9"/>
    <w:rsid w:val="00CA0642"/>
    <w:rsid w:val="00CA17DD"/>
    <w:rsid w:val="00CA1863"/>
    <w:rsid w:val="00CA192A"/>
    <w:rsid w:val="00CA1A22"/>
    <w:rsid w:val="00CA2655"/>
    <w:rsid w:val="00CA26CE"/>
    <w:rsid w:val="00CA391D"/>
    <w:rsid w:val="00CA3ACD"/>
    <w:rsid w:val="00CA4507"/>
    <w:rsid w:val="00CA460B"/>
    <w:rsid w:val="00CA4B66"/>
    <w:rsid w:val="00CA4F8B"/>
    <w:rsid w:val="00CA519F"/>
    <w:rsid w:val="00CA7142"/>
    <w:rsid w:val="00CA71A5"/>
    <w:rsid w:val="00CB0716"/>
    <w:rsid w:val="00CB08BF"/>
    <w:rsid w:val="00CB09DA"/>
    <w:rsid w:val="00CB0BD9"/>
    <w:rsid w:val="00CB1CAC"/>
    <w:rsid w:val="00CB1D87"/>
    <w:rsid w:val="00CB1DE8"/>
    <w:rsid w:val="00CB1E3B"/>
    <w:rsid w:val="00CB1F1D"/>
    <w:rsid w:val="00CB364B"/>
    <w:rsid w:val="00CB3B61"/>
    <w:rsid w:val="00CB4212"/>
    <w:rsid w:val="00CB4432"/>
    <w:rsid w:val="00CB600D"/>
    <w:rsid w:val="00CB6199"/>
    <w:rsid w:val="00CB646D"/>
    <w:rsid w:val="00CB6F29"/>
    <w:rsid w:val="00CB71F8"/>
    <w:rsid w:val="00CB78DE"/>
    <w:rsid w:val="00CC10AE"/>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C7D34"/>
    <w:rsid w:val="00CC7D62"/>
    <w:rsid w:val="00CD078F"/>
    <w:rsid w:val="00CD121E"/>
    <w:rsid w:val="00CD1922"/>
    <w:rsid w:val="00CD28F0"/>
    <w:rsid w:val="00CD3ED8"/>
    <w:rsid w:val="00CD3F5E"/>
    <w:rsid w:val="00CD4DA3"/>
    <w:rsid w:val="00CD6E97"/>
    <w:rsid w:val="00CD736C"/>
    <w:rsid w:val="00CD761D"/>
    <w:rsid w:val="00CD76B5"/>
    <w:rsid w:val="00CE0305"/>
    <w:rsid w:val="00CE09B1"/>
    <w:rsid w:val="00CE18D2"/>
    <w:rsid w:val="00CE2346"/>
    <w:rsid w:val="00CE2B02"/>
    <w:rsid w:val="00CE4F2D"/>
    <w:rsid w:val="00CE5128"/>
    <w:rsid w:val="00CE6A8A"/>
    <w:rsid w:val="00CE6F0F"/>
    <w:rsid w:val="00CE6F23"/>
    <w:rsid w:val="00CE726E"/>
    <w:rsid w:val="00CE7C7C"/>
    <w:rsid w:val="00CF002F"/>
    <w:rsid w:val="00CF0246"/>
    <w:rsid w:val="00CF0650"/>
    <w:rsid w:val="00CF0C02"/>
    <w:rsid w:val="00CF1899"/>
    <w:rsid w:val="00CF2157"/>
    <w:rsid w:val="00CF2483"/>
    <w:rsid w:val="00CF24E2"/>
    <w:rsid w:val="00CF393D"/>
    <w:rsid w:val="00CF4ABD"/>
    <w:rsid w:val="00CF4BC8"/>
    <w:rsid w:val="00CF5A53"/>
    <w:rsid w:val="00CF5D28"/>
    <w:rsid w:val="00CF6221"/>
    <w:rsid w:val="00CF68CF"/>
    <w:rsid w:val="00CF6942"/>
    <w:rsid w:val="00CF69A1"/>
    <w:rsid w:val="00CF6BD6"/>
    <w:rsid w:val="00CF6F1E"/>
    <w:rsid w:val="00D001F9"/>
    <w:rsid w:val="00D0036E"/>
    <w:rsid w:val="00D00827"/>
    <w:rsid w:val="00D00BB7"/>
    <w:rsid w:val="00D01680"/>
    <w:rsid w:val="00D01EAD"/>
    <w:rsid w:val="00D035B9"/>
    <w:rsid w:val="00D0365C"/>
    <w:rsid w:val="00D060FF"/>
    <w:rsid w:val="00D064E8"/>
    <w:rsid w:val="00D06572"/>
    <w:rsid w:val="00D065CD"/>
    <w:rsid w:val="00D06A32"/>
    <w:rsid w:val="00D07C91"/>
    <w:rsid w:val="00D07D93"/>
    <w:rsid w:val="00D112E1"/>
    <w:rsid w:val="00D1144C"/>
    <w:rsid w:val="00D11766"/>
    <w:rsid w:val="00D12325"/>
    <w:rsid w:val="00D129B8"/>
    <w:rsid w:val="00D14487"/>
    <w:rsid w:val="00D15E7E"/>
    <w:rsid w:val="00D162EF"/>
    <w:rsid w:val="00D17F03"/>
    <w:rsid w:val="00D20016"/>
    <w:rsid w:val="00D2053E"/>
    <w:rsid w:val="00D207A7"/>
    <w:rsid w:val="00D20CD6"/>
    <w:rsid w:val="00D20E00"/>
    <w:rsid w:val="00D21A81"/>
    <w:rsid w:val="00D21DBE"/>
    <w:rsid w:val="00D2279F"/>
    <w:rsid w:val="00D22AF1"/>
    <w:rsid w:val="00D22E93"/>
    <w:rsid w:val="00D242DA"/>
    <w:rsid w:val="00D25C16"/>
    <w:rsid w:val="00D25E95"/>
    <w:rsid w:val="00D26448"/>
    <w:rsid w:val="00D264CE"/>
    <w:rsid w:val="00D26670"/>
    <w:rsid w:val="00D2699E"/>
    <w:rsid w:val="00D27137"/>
    <w:rsid w:val="00D275CA"/>
    <w:rsid w:val="00D27B8B"/>
    <w:rsid w:val="00D31210"/>
    <w:rsid w:val="00D31B6E"/>
    <w:rsid w:val="00D3232B"/>
    <w:rsid w:val="00D3239F"/>
    <w:rsid w:val="00D324A4"/>
    <w:rsid w:val="00D3250C"/>
    <w:rsid w:val="00D328F6"/>
    <w:rsid w:val="00D33B7B"/>
    <w:rsid w:val="00D3462C"/>
    <w:rsid w:val="00D35059"/>
    <w:rsid w:val="00D35198"/>
    <w:rsid w:val="00D3584B"/>
    <w:rsid w:val="00D35D27"/>
    <w:rsid w:val="00D371EE"/>
    <w:rsid w:val="00D376B1"/>
    <w:rsid w:val="00D376F7"/>
    <w:rsid w:val="00D41004"/>
    <w:rsid w:val="00D41541"/>
    <w:rsid w:val="00D42240"/>
    <w:rsid w:val="00D427C3"/>
    <w:rsid w:val="00D4290C"/>
    <w:rsid w:val="00D42EB8"/>
    <w:rsid w:val="00D44922"/>
    <w:rsid w:val="00D44932"/>
    <w:rsid w:val="00D45AA1"/>
    <w:rsid w:val="00D46111"/>
    <w:rsid w:val="00D46638"/>
    <w:rsid w:val="00D47953"/>
    <w:rsid w:val="00D47C16"/>
    <w:rsid w:val="00D502AF"/>
    <w:rsid w:val="00D503C5"/>
    <w:rsid w:val="00D506E9"/>
    <w:rsid w:val="00D50709"/>
    <w:rsid w:val="00D50764"/>
    <w:rsid w:val="00D50C12"/>
    <w:rsid w:val="00D518AB"/>
    <w:rsid w:val="00D518FF"/>
    <w:rsid w:val="00D51A77"/>
    <w:rsid w:val="00D52751"/>
    <w:rsid w:val="00D52B2B"/>
    <w:rsid w:val="00D53010"/>
    <w:rsid w:val="00D5354F"/>
    <w:rsid w:val="00D53649"/>
    <w:rsid w:val="00D53830"/>
    <w:rsid w:val="00D54695"/>
    <w:rsid w:val="00D54FB3"/>
    <w:rsid w:val="00D556CE"/>
    <w:rsid w:val="00D55889"/>
    <w:rsid w:val="00D56B5F"/>
    <w:rsid w:val="00D57A3F"/>
    <w:rsid w:val="00D57AF0"/>
    <w:rsid w:val="00D57DCF"/>
    <w:rsid w:val="00D61FC2"/>
    <w:rsid w:val="00D62ECD"/>
    <w:rsid w:val="00D62FCD"/>
    <w:rsid w:val="00D630F6"/>
    <w:rsid w:val="00D64426"/>
    <w:rsid w:val="00D645A3"/>
    <w:rsid w:val="00D6488A"/>
    <w:rsid w:val="00D64E88"/>
    <w:rsid w:val="00D65D78"/>
    <w:rsid w:val="00D664F0"/>
    <w:rsid w:val="00D67BC5"/>
    <w:rsid w:val="00D7021B"/>
    <w:rsid w:val="00D7073E"/>
    <w:rsid w:val="00D70D33"/>
    <w:rsid w:val="00D7163D"/>
    <w:rsid w:val="00D71749"/>
    <w:rsid w:val="00D717C2"/>
    <w:rsid w:val="00D720EE"/>
    <w:rsid w:val="00D72A8C"/>
    <w:rsid w:val="00D73077"/>
    <w:rsid w:val="00D734CB"/>
    <w:rsid w:val="00D736A2"/>
    <w:rsid w:val="00D73C57"/>
    <w:rsid w:val="00D742FF"/>
    <w:rsid w:val="00D754C4"/>
    <w:rsid w:val="00D75759"/>
    <w:rsid w:val="00D758B3"/>
    <w:rsid w:val="00D76047"/>
    <w:rsid w:val="00D76ADC"/>
    <w:rsid w:val="00D77413"/>
    <w:rsid w:val="00D77E63"/>
    <w:rsid w:val="00D80831"/>
    <w:rsid w:val="00D80C81"/>
    <w:rsid w:val="00D80F4C"/>
    <w:rsid w:val="00D81A83"/>
    <w:rsid w:val="00D81F10"/>
    <w:rsid w:val="00D8201E"/>
    <w:rsid w:val="00D82E0A"/>
    <w:rsid w:val="00D83AFD"/>
    <w:rsid w:val="00D84A57"/>
    <w:rsid w:val="00D84C3B"/>
    <w:rsid w:val="00D84E30"/>
    <w:rsid w:val="00D854AC"/>
    <w:rsid w:val="00D863D3"/>
    <w:rsid w:val="00D865A7"/>
    <w:rsid w:val="00D874DF"/>
    <w:rsid w:val="00D8764A"/>
    <w:rsid w:val="00D87A12"/>
    <w:rsid w:val="00D9033C"/>
    <w:rsid w:val="00D90C06"/>
    <w:rsid w:val="00D90E4C"/>
    <w:rsid w:val="00D91153"/>
    <w:rsid w:val="00D918F4"/>
    <w:rsid w:val="00D91AB5"/>
    <w:rsid w:val="00D92396"/>
    <w:rsid w:val="00D92F54"/>
    <w:rsid w:val="00D930E1"/>
    <w:rsid w:val="00D9415C"/>
    <w:rsid w:val="00D942CC"/>
    <w:rsid w:val="00D94ADE"/>
    <w:rsid w:val="00D94D87"/>
    <w:rsid w:val="00D962DC"/>
    <w:rsid w:val="00D96E0A"/>
    <w:rsid w:val="00D9764F"/>
    <w:rsid w:val="00D97BB5"/>
    <w:rsid w:val="00DA0E60"/>
    <w:rsid w:val="00DA1103"/>
    <w:rsid w:val="00DA180C"/>
    <w:rsid w:val="00DA1DDF"/>
    <w:rsid w:val="00DA1EF7"/>
    <w:rsid w:val="00DA2210"/>
    <w:rsid w:val="00DA298A"/>
    <w:rsid w:val="00DA317A"/>
    <w:rsid w:val="00DA3856"/>
    <w:rsid w:val="00DA3E7B"/>
    <w:rsid w:val="00DA451D"/>
    <w:rsid w:val="00DA56DB"/>
    <w:rsid w:val="00DA6175"/>
    <w:rsid w:val="00DA6452"/>
    <w:rsid w:val="00DA6C81"/>
    <w:rsid w:val="00DA6FE9"/>
    <w:rsid w:val="00DA7588"/>
    <w:rsid w:val="00DA7925"/>
    <w:rsid w:val="00DA7FF0"/>
    <w:rsid w:val="00DB0AB8"/>
    <w:rsid w:val="00DB0D2A"/>
    <w:rsid w:val="00DB11CD"/>
    <w:rsid w:val="00DB184A"/>
    <w:rsid w:val="00DB1DAB"/>
    <w:rsid w:val="00DB2EA2"/>
    <w:rsid w:val="00DB39D4"/>
    <w:rsid w:val="00DB3A47"/>
    <w:rsid w:val="00DB4E06"/>
    <w:rsid w:val="00DB5495"/>
    <w:rsid w:val="00DB5636"/>
    <w:rsid w:val="00DB6A80"/>
    <w:rsid w:val="00DB6C06"/>
    <w:rsid w:val="00DB7B06"/>
    <w:rsid w:val="00DC108F"/>
    <w:rsid w:val="00DC22D6"/>
    <w:rsid w:val="00DC2342"/>
    <w:rsid w:val="00DC23A1"/>
    <w:rsid w:val="00DC2917"/>
    <w:rsid w:val="00DC2CCF"/>
    <w:rsid w:val="00DC3A9D"/>
    <w:rsid w:val="00DC3FF5"/>
    <w:rsid w:val="00DC48E1"/>
    <w:rsid w:val="00DC6C1E"/>
    <w:rsid w:val="00DC708C"/>
    <w:rsid w:val="00DC7951"/>
    <w:rsid w:val="00DD02F4"/>
    <w:rsid w:val="00DD0F95"/>
    <w:rsid w:val="00DD1C4B"/>
    <w:rsid w:val="00DD1F7B"/>
    <w:rsid w:val="00DD229E"/>
    <w:rsid w:val="00DD230E"/>
    <w:rsid w:val="00DD3029"/>
    <w:rsid w:val="00DD44C7"/>
    <w:rsid w:val="00DD55E0"/>
    <w:rsid w:val="00DD5B95"/>
    <w:rsid w:val="00DD5E12"/>
    <w:rsid w:val="00DD6A61"/>
    <w:rsid w:val="00DE0C66"/>
    <w:rsid w:val="00DE118C"/>
    <w:rsid w:val="00DE1904"/>
    <w:rsid w:val="00DE2589"/>
    <w:rsid w:val="00DE3202"/>
    <w:rsid w:val="00DE3DBB"/>
    <w:rsid w:val="00DE43A2"/>
    <w:rsid w:val="00DE4A74"/>
    <w:rsid w:val="00DE4B05"/>
    <w:rsid w:val="00DE541C"/>
    <w:rsid w:val="00DE55EE"/>
    <w:rsid w:val="00DE5F40"/>
    <w:rsid w:val="00DE6702"/>
    <w:rsid w:val="00DE69B5"/>
    <w:rsid w:val="00DE737B"/>
    <w:rsid w:val="00DF0587"/>
    <w:rsid w:val="00DF100B"/>
    <w:rsid w:val="00DF23CA"/>
    <w:rsid w:val="00DF2929"/>
    <w:rsid w:val="00DF2ED3"/>
    <w:rsid w:val="00DF3B49"/>
    <w:rsid w:val="00DF3B76"/>
    <w:rsid w:val="00DF4359"/>
    <w:rsid w:val="00DF4D53"/>
    <w:rsid w:val="00DF4FA9"/>
    <w:rsid w:val="00DF547C"/>
    <w:rsid w:val="00DF573B"/>
    <w:rsid w:val="00DF6773"/>
    <w:rsid w:val="00DF6E3F"/>
    <w:rsid w:val="00DF7742"/>
    <w:rsid w:val="00DF7751"/>
    <w:rsid w:val="00E00110"/>
    <w:rsid w:val="00E00974"/>
    <w:rsid w:val="00E031BB"/>
    <w:rsid w:val="00E0424A"/>
    <w:rsid w:val="00E0520E"/>
    <w:rsid w:val="00E0576C"/>
    <w:rsid w:val="00E0626B"/>
    <w:rsid w:val="00E068BC"/>
    <w:rsid w:val="00E073F0"/>
    <w:rsid w:val="00E07DBA"/>
    <w:rsid w:val="00E10761"/>
    <w:rsid w:val="00E108E4"/>
    <w:rsid w:val="00E11D7A"/>
    <w:rsid w:val="00E11EEA"/>
    <w:rsid w:val="00E11EEB"/>
    <w:rsid w:val="00E128F2"/>
    <w:rsid w:val="00E129FA"/>
    <w:rsid w:val="00E13883"/>
    <w:rsid w:val="00E13E69"/>
    <w:rsid w:val="00E13EE4"/>
    <w:rsid w:val="00E13F64"/>
    <w:rsid w:val="00E14A98"/>
    <w:rsid w:val="00E14AD8"/>
    <w:rsid w:val="00E16463"/>
    <w:rsid w:val="00E16C37"/>
    <w:rsid w:val="00E20921"/>
    <w:rsid w:val="00E20AD3"/>
    <w:rsid w:val="00E20CCC"/>
    <w:rsid w:val="00E20D46"/>
    <w:rsid w:val="00E22DD9"/>
    <w:rsid w:val="00E239D1"/>
    <w:rsid w:val="00E2428C"/>
    <w:rsid w:val="00E26727"/>
    <w:rsid w:val="00E268B1"/>
    <w:rsid w:val="00E26970"/>
    <w:rsid w:val="00E26DED"/>
    <w:rsid w:val="00E27791"/>
    <w:rsid w:val="00E27FAD"/>
    <w:rsid w:val="00E30F2D"/>
    <w:rsid w:val="00E3120D"/>
    <w:rsid w:val="00E313D4"/>
    <w:rsid w:val="00E3197F"/>
    <w:rsid w:val="00E319DB"/>
    <w:rsid w:val="00E31AFC"/>
    <w:rsid w:val="00E33B0B"/>
    <w:rsid w:val="00E3409E"/>
    <w:rsid w:val="00E3421C"/>
    <w:rsid w:val="00E34E72"/>
    <w:rsid w:val="00E34F76"/>
    <w:rsid w:val="00E35911"/>
    <w:rsid w:val="00E36405"/>
    <w:rsid w:val="00E36415"/>
    <w:rsid w:val="00E36419"/>
    <w:rsid w:val="00E3682C"/>
    <w:rsid w:val="00E3700A"/>
    <w:rsid w:val="00E372D9"/>
    <w:rsid w:val="00E37BE5"/>
    <w:rsid w:val="00E41A27"/>
    <w:rsid w:val="00E4285A"/>
    <w:rsid w:val="00E430C7"/>
    <w:rsid w:val="00E45832"/>
    <w:rsid w:val="00E4608B"/>
    <w:rsid w:val="00E469B2"/>
    <w:rsid w:val="00E47767"/>
    <w:rsid w:val="00E501D3"/>
    <w:rsid w:val="00E53A01"/>
    <w:rsid w:val="00E53A64"/>
    <w:rsid w:val="00E53A6F"/>
    <w:rsid w:val="00E5472C"/>
    <w:rsid w:val="00E54961"/>
    <w:rsid w:val="00E54A7E"/>
    <w:rsid w:val="00E564C4"/>
    <w:rsid w:val="00E567C9"/>
    <w:rsid w:val="00E56D51"/>
    <w:rsid w:val="00E57446"/>
    <w:rsid w:val="00E57BB6"/>
    <w:rsid w:val="00E57CE4"/>
    <w:rsid w:val="00E604C4"/>
    <w:rsid w:val="00E60809"/>
    <w:rsid w:val="00E60991"/>
    <w:rsid w:val="00E61300"/>
    <w:rsid w:val="00E614F2"/>
    <w:rsid w:val="00E62665"/>
    <w:rsid w:val="00E635B9"/>
    <w:rsid w:val="00E63F1C"/>
    <w:rsid w:val="00E641F4"/>
    <w:rsid w:val="00E65041"/>
    <w:rsid w:val="00E65D15"/>
    <w:rsid w:val="00E66C49"/>
    <w:rsid w:val="00E66E4D"/>
    <w:rsid w:val="00E67EE5"/>
    <w:rsid w:val="00E67F04"/>
    <w:rsid w:val="00E7013A"/>
    <w:rsid w:val="00E70184"/>
    <w:rsid w:val="00E70D26"/>
    <w:rsid w:val="00E70D40"/>
    <w:rsid w:val="00E74F5D"/>
    <w:rsid w:val="00E76034"/>
    <w:rsid w:val="00E765C3"/>
    <w:rsid w:val="00E7685B"/>
    <w:rsid w:val="00E769A9"/>
    <w:rsid w:val="00E7751B"/>
    <w:rsid w:val="00E80371"/>
    <w:rsid w:val="00E80440"/>
    <w:rsid w:val="00E80515"/>
    <w:rsid w:val="00E8154A"/>
    <w:rsid w:val="00E81752"/>
    <w:rsid w:val="00E817E0"/>
    <w:rsid w:val="00E819FB"/>
    <w:rsid w:val="00E82B3D"/>
    <w:rsid w:val="00E82EE4"/>
    <w:rsid w:val="00E82F13"/>
    <w:rsid w:val="00E831E7"/>
    <w:rsid w:val="00E834D6"/>
    <w:rsid w:val="00E83706"/>
    <w:rsid w:val="00E843B5"/>
    <w:rsid w:val="00E84916"/>
    <w:rsid w:val="00E84A3B"/>
    <w:rsid w:val="00E85307"/>
    <w:rsid w:val="00E86508"/>
    <w:rsid w:val="00E87BCD"/>
    <w:rsid w:val="00E87E13"/>
    <w:rsid w:val="00E907E4"/>
    <w:rsid w:val="00E90A24"/>
    <w:rsid w:val="00E90C34"/>
    <w:rsid w:val="00E90F01"/>
    <w:rsid w:val="00E919AC"/>
    <w:rsid w:val="00E91AC8"/>
    <w:rsid w:val="00E946A6"/>
    <w:rsid w:val="00E947E4"/>
    <w:rsid w:val="00E94C9F"/>
    <w:rsid w:val="00E95469"/>
    <w:rsid w:val="00E95564"/>
    <w:rsid w:val="00E95AAD"/>
    <w:rsid w:val="00E96A29"/>
    <w:rsid w:val="00E96B28"/>
    <w:rsid w:val="00E96FE6"/>
    <w:rsid w:val="00E9728C"/>
    <w:rsid w:val="00E97477"/>
    <w:rsid w:val="00E97652"/>
    <w:rsid w:val="00E9765F"/>
    <w:rsid w:val="00E97975"/>
    <w:rsid w:val="00EA0A5C"/>
    <w:rsid w:val="00EA0AD2"/>
    <w:rsid w:val="00EA0CF0"/>
    <w:rsid w:val="00EA0EB3"/>
    <w:rsid w:val="00EA1D43"/>
    <w:rsid w:val="00EA20B0"/>
    <w:rsid w:val="00EA26EE"/>
    <w:rsid w:val="00EA4A9D"/>
    <w:rsid w:val="00EA4EC9"/>
    <w:rsid w:val="00EA52E8"/>
    <w:rsid w:val="00EA5CDF"/>
    <w:rsid w:val="00EA5E0F"/>
    <w:rsid w:val="00EA6675"/>
    <w:rsid w:val="00EA67DA"/>
    <w:rsid w:val="00EA6C4F"/>
    <w:rsid w:val="00EA6FE4"/>
    <w:rsid w:val="00EA7723"/>
    <w:rsid w:val="00EA7955"/>
    <w:rsid w:val="00EA7F4C"/>
    <w:rsid w:val="00EB1D47"/>
    <w:rsid w:val="00EB2146"/>
    <w:rsid w:val="00EB2317"/>
    <w:rsid w:val="00EB279B"/>
    <w:rsid w:val="00EB2ABB"/>
    <w:rsid w:val="00EB2D71"/>
    <w:rsid w:val="00EB3631"/>
    <w:rsid w:val="00EB3987"/>
    <w:rsid w:val="00EB55CA"/>
    <w:rsid w:val="00EB584C"/>
    <w:rsid w:val="00EB5D88"/>
    <w:rsid w:val="00EB7307"/>
    <w:rsid w:val="00EC14B0"/>
    <w:rsid w:val="00EC204E"/>
    <w:rsid w:val="00EC249E"/>
    <w:rsid w:val="00EC2CFF"/>
    <w:rsid w:val="00EC319F"/>
    <w:rsid w:val="00EC440C"/>
    <w:rsid w:val="00EC4D33"/>
    <w:rsid w:val="00EC5F2F"/>
    <w:rsid w:val="00EC61E4"/>
    <w:rsid w:val="00EC651E"/>
    <w:rsid w:val="00EC692E"/>
    <w:rsid w:val="00EC745E"/>
    <w:rsid w:val="00EC7EAF"/>
    <w:rsid w:val="00ED1696"/>
    <w:rsid w:val="00ED1759"/>
    <w:rsid w:val="00ED270C"/>
    <w:rsid w:val="00ED27C3"/>
    <w:rsid w:val="00ED33AE"/>
    <w:rsid w:val="00ED3775"/>
    <w:rsid w:val="00ED3DC4"/>
    <w:rsid w:val="00ED427D"/>
    <w:rsid w:val="00ED46FF"/>
    <w:rsid w:val="00ED4A6D"/>
    <w:rsid w:val="00ED61E6"/>
    <w:rsid w:val="00ED6D4A"/>
    <w:rsid w:val="00ED6E42"/>
    <w:rsid w:val="00ED71DD"/>
    <w:rsid w:val="00ED738C"/>
    <w:rsid w:val="00ED7918"/>
    <w:rsid w:val="00ED7FD3"/>
    <w:rsid w:val="00EE05FE"/>
    <w:rsid w:val="00EE078B"/>
    <w:rsid w:val="00EE1064"/>
    <w:rsid w:val="00EE3270"/>
    <w:rsid w:val="00EE3663"/>
    <w:rsid w:val="00EE3FAA"/>
    <w:rsid w:val="00EE41C4"/>
    <w:rsid w:val="00EE4457"/>
    <w:rsid w:val="00EE4A40"/>
    <w:rsid w:val="00EE76A9"/>
    <w:rsid w:val="00EE7893"/>
    <w:rsid w:val="00EE799E"/>
    <w:rsid w:val="00EE7C7E"/>
    <w:rsid w:val="00EE7CA8"/>
    <w:rsid w:val="00EE7FA7"/>
    <w:rsid w:val="00EF1093"/>
    <w:rsid w:val="00EF1FCB"/>
    <w:rsid w:val="00EF21C3"/>
    <w:rsid w:val="00EF27B4"/>
    <w:rsid w:val="00EF2E6B"/>
    <w:rsid w:val="00EF58AE"/>
    <w:rsid w:val="00EF5E0D"/>
    <w:rsid w:val="00EF6091"/>
    <w:rsid w:val="00EF614C"/>
    <w:rsid w:val="00EF633C"/>
    <w:rsid w:val="00EF7D08"/>
    <w:rsid w:val="00F0030E"/>
    <w:rsid w:val="00F00405"/>
    <w:rsid w:val="00F00CD1"/>
    <w:rsid w:val="00F00EF5"/>
    <w:rsid w:val="00F01B50"/>
    <w:rsid w:val="00F01E6B"/>
    <w:rsid w:val="00F0241C"/>
    <w:rsid w:val="00F029B8"/>
    <w:rsid w:val="00F04057"/>
    <w:rsid w:val="00F04091"/>
    <w:rsid w:val="00F05759"/>
    <w:rsid w:val="00F07161"/>
    <w:rsid w:val="00F07BF8"/>
    <w:rsid w:val="00F10CB9"/>
    <w:rsid w:val="00F110D5"/>
    <w:rsid w:val="00F11C64"/>
    <w:rsid w:val="00F12351"/>
    <w:rsid w:val="00F12A9A"/>
    <w:rsid w:val="00F16739"/>
    <w:rsid w:val="00F16DE2"/>
    <w:rsid w:val="00F17C5F"/>
    <w:rsid w:val="00F200EF"/>
    <w:rsid w:val="00F2052B"/>
    <w:rsid w:val="00F210C7"/>
    <w:rsid w:val="00F213FF"/>
    <w:rsid w:val="00F221B1"/>
    <w:rsid w:val="00F2260F"/>
    <w:rsid w:val="00F242AD"/>
    <w:rsid w:val="00F247F2"/>
    <w:rsid w:val="00F24970"/>
    <w:rsid w:val="00F252A8"/>
    <w:rsid w:val="00F2608D"/>
    <w:rsid w:val="00F260F7"/>
    <w:rsid w:val="00F2619B"/>
    <w:rsid w:val="00F265F7"/>
    <w:rsid w:val="00F27A9C"/>
    <w:rsid w:val="00F27C15"/>
    <w:rsid w:val="00F27FA6"/>
    <w:rsid w:val="00F30B70"/>
    <w:rsid w:val="00F30C74"/>
    <w:rsid w:val="00F321E4"/>
    <w:rsid w:val="00F321F1"/>
    <w:rsid w:val="00F324CC"/>
    <w:rsid w:val="00F33DC8"/>
    <w:rsid w:val="00F3429E"/>
    <w:rsid w:val="00F34350"/>
    <w:rsid w:val="00F34444"/>
    <w:rsid w:val="00F34F36"/>
    <w:rsid w:val="00F3609E"/>
    <w:rsid w:val="00F360A6"/>
    <w:rsid w:val="00F36F33"/>
    <w:rsid w:val="00F4065A"/>
    <w:rsid w:val="00F40D83"/>
    <w:rsid w:val="00F40F19"/>
    <w:rsid w:val="00F410B2"/>
    <w:rsid w:val="00F41807"/>
    <w:rsid w:val="00F4275C"/>
    <w:rsid w:val="00F447D4"/>
    <w:rsid w:val="00F450A9"/>
    <w:rsid w:val="00F4516E"/>
    <w:rsid w:val="00F45693"/>
    <w:rsid w:val="00F4644B"/>
    <w:rsid w:val="00F47983"/>
    <w:rsid w:val="00F47C8B"/>
    <w:rsid w:val="00F47FD1"/>
    <w:rsid w:val="00F506DF"/>
    <w:rsid w:val="00F51228"/>
    <w:rsid w:val="00F51A53"/>
    <w:rsid w:val="00F51F04"/>
    <w:rsid w:val="00F52339"/>
    <w:rsid w:val="00F5277A"/>
    <w:rsid w:val="00F532E8"/>
    <w:rsid w:val="00F53469"/>
    <w:rsid w:val="00F5354C"/>
    <w:rsid w:val="00F537FF"/>
    <w:rsid w:val="00F54405"/>
    <w:rsid w:val="00F54D01"/>
    <w:rsid w:val="00F55F0D"/>
    <w:rsid w:val="00F560FE"/>
    <w:rsid w:val="00F5669F"/>
    <w:rsid w:val="00F5681C"/>
    <w:rsid w:val="00F57274"/>
    <w:rsid w:val="00F605B6"/>
    <w:rsid w:val="00F6111C"/>
    <w:rsid w:val="00F613EC"/>
    <w:rsid w:val="00F614C0"/>
    <w:rsid w:val="00F61647"/>
    <w:rsid w:val="00F61B4F"/>
    <w:rsid w:val="00F61F5F"/>
    <w:rsid w:val="00F62872"/>
    <w:rsid w:val="00F62C0A"/>
    <w:rsid w:val="00F64519"/>
    <w:rsid w:val="00F64D0E"/>
    <w:rsid w:val="00F64D5B"/>
    <w:rsid w:val="00F657CF"/>
    <w:rsid w:val="00F664F7"/>
    <w:rsid w:val="00F66A00"/>
    <w:rsid w:val="00F70580"/>
    <w:rsid w:val="00F713A3"/>
    <w:rsid w:val="00F719B0"/>
    <w:rsid w:val="00F71A8F"/>
    <w:rsid w:val="00F71D35"/>
    <w:rsid w:val="00F72EF8"/>
    <w:rsid w:val="00F73E5A"/>
    <w:rsid w:val="00F7490F"/>
    <w:rsid w:val="00F74E57"/>
    <w:rsid w:val="00F75330"/>
    <w:rsid w:val="00F75B55"/>
    <w:rsid w:val="00F75D1C"/>
    <w:rsid w:val="00F760B5"/>
    <w:rsid w:val="00F76410"/>
    <w:rsid w:val="00F76BD9"/>
    <w:rsid w:val="00F800C6"/>
    <w:rsid w:val="00F80318"/>
    <w:rsid w:val="00F80703"/>
    <w:rsid w:val="00F80948"/>
    <w:rsid w:val="00F80A7F"/>
    <w:rsid w:val="00F80F28"/>
    <w:rsid w:val="00F810FC"/>
    <w:rsid w:val="00F81387"/>
    <w:rsid w:val="00F81E3D"/>
    <w:rsid w:val="00F8214F"/>
    <w:rsid w:val="00F822E3"/>
    <w:rsid w:val="00F82866"/>
    <w:rsid w:val="00F8404A"/>
    <w:rsid w:val="00F84421"/>
    <w:rsid w:val="00F8449B"/>
    <w:rsid w:val="00F84D8D"/>
    <w:rsid w:val="00F8531A"/>
    <w:rsid w:val="00F85691"/>
    <w:rsid w:val="00F85880"/>
    <w:rsid w:val="00F85EBE"/>
    <w:rsid w:val="00F864B2"/>
    <w:rsid w:val="00F869E0"/>
    <w:rsid w:val="00F87032"/>
    <w:rsid w:val="00F87094"/>
    <w:rsid w:val="00F87AB3"/>
    <w:rsid w:val="00F913DC"/>
    <w:rsid w:val="00F9161B"/>
    <w:rsid w:val="00F917FE"/>
    <w:rsid w:val="00F91DDA"/>
    <w:rsid w:val="00F9237F"/>
    <w:rsid w:val="00F93646"/>
    <w:rsid w:val="00F9397A"/>
    <w:rsid w:val="00F93A37"/>
    <w:rsid w:val="00F94182"/>
    <w:rsid w:val="00F944D9"/>
    <w:rsid w:val="00F94DB3"/>
    <w:rsid w:val="00F9606C"/>
    <w:rsid w:val="00F96500"/>
    <w:rsid w:val="00FA0D4B"/>
    <w:rsid w:val="00FA145C"/>
    <w:rsid w:val="00FA1CD5"/>
    <w:rsid w:val="00FA2C70"/>
    <w:rsid w:val="00FA3F80"/>
    <w:rsid w:val="00FA413A"/>
    <w:rsid w:val="00FA4144"/>
    <w:rsid w:val="00FA4DDF"/>
    <w:rsid w:val="00FA62D5"/>
    <w:rsid w:val="00FA68DC"/>
    <w:rsid w:val="00FA6E7F"/>
    <w:rsid w:val="00FA7114"/>
    <w:rsid w:val="00FA73C0"/>
    <w:rsid w:val="00FA7DAB"/>
    <w:rsid w:val="00FA7DE7"/>
    <w:rsid w:val="00FB0198"/>
    <w:rsid w:val="00FB04E1"/>
    <w:rsid w:val="00FB0553"/>
    <w:rsid w:val="00FB0826"/>
    <w:rsid w:val="00FB1462"/>
    <w:rsid w:val="00FB1B36"/>
    <w:rsid w:val="00FB2379"/>
    <w:rsid w:val="00FB31C3"/>
    <w:rsid w:val="00FB391B"/>
    <w:rsid w:val="00FB4888"/>
    <w:rsid w:val="00FB4A7A"/>
    <w:rsid w:val="00FB4B8A"/>
    <w:rsid w:val="00FB5152"/>
    <w:rsid w:val="00FB59FD"/>
    <w:rsid w:val="00FB680E"/>
    <w:rsid w:val="00FC0065"/>
    <w:rsid w:val="00FC0E90"/>
    <w:rsid w:val="00FC11B7"/>
    <w:rsid w:val="00FC13C5"/>
    <w:rsid w:val="00FC1A72"/>
    <w:rsid w:val="00FC3811"/>
    <w:rsid w:val="00FC3AEE"/>
    <w:rsid w:val="00FC4137"/>
    <w:rsid w:val="00FC445A"/>
    <w:rsid w:val="00FC56FA"/>
    <w:rsid w:val="00FC6238"/>
    <w:rsid w:val="00FC78AD"/>
    <w:rsid w:val="00FC7BD8"/>
    <w:rsid w:val="00FD01C4"/>
    <w:rsid w:val="00FD0D70"/>
    <w:rsid w:val="00FD1E00"/>
    <w:rsid w:val="00FD22EB"/>
    <w:rsid w:val="00FD33FC"/>
    <w:rsid w:val="00FD3730"/>
    <w:rsid w:val="00FD3A9B"/>
    <w:rsid w:val="00FD3ADE"/>
    <w:rsid w:val="00FD3B08"/>
    <w:rsid w:val="00FD4806"/>
    <w:rsid w:val="00FD4BA4"/>
    <w:rsid w:val="00FD534E"/>
    <w:rsid w:val="00FD56C7"/>
    <w:rsid w:val="00FD5CBB"/>
    <w:rsid w:val="00FD6252"/>
    <w:rsid w:val="00FD6B74"/>
    <w:rsid w:val="00FD70AE"/>
    <w:rsid w:val="00FD79E5"/>
    <w:rsid w:val="00FD7F77"/>
    <w:rsid w:val="00FE002E"/>
    <w:rsid w:val="00FE00BF"/>
    <w:rsid w:val="00FE04B0"/>
    <w:rsid w:val="00FE2398"/>
    <w:rsid w:val="00FE2F15"/>
    <w:rsid w:val="00FE3EE9"/>
    <w:rsid w:val="00FE4181"/>
    <w:rsid w:val="00FE515A"/>
    <w:rsid w:val="00FE5624"/>
    <w:rsid w:val="00FE5D2C"/>
    <w:rsid w:val="00FE5FBF"/>
    <w:rsid w:val="00FE6C25"/>
    <w:rsid w:val="00FF000F"/>
    <w:rsid w:val="00FF033A"/>
    <w:rsid w:val="00FF035A"/>
    <w:rsid w:val="00FF0964"/>
    <w:rsid w:val="00FF16F2"/>
    <w:rsid w:val="00FF17AA"/>
    <w:rsid w:val="00FF1D24"/>
    <w:rsid w:val="00FF2B42"/>
    <w:rsid w:val="00FF3B7F"/>
    <w:rsid w:val="00FF459E"/>
    <w:rsid w:val="00FF5615"/>
    <w:rsid w:val="00FF5973"/>
    <w:rsid w:val="00FF5F6C"/>
    <w:rsid w:val="00FF678C"/>
    <w:rsid w:val="00FF6822"/>
    <w:rsid w:val="00FF6EB6"/>
    <w:rsid w:val="00FF73D0"/>
    <w:rsid w:val="00FF7D43"/>
    <w:rsid w:val="088190D0"/>
    <w:rsid w:val="0FDC08DB"/>
    <w:rsid w:val="14CAD5E4"/>
    <w:rsid w:val="14D5A090"/>
    <w:rsid w:val="17124F94"/>
    <w:rsid w:val="1A928BB7"/>
    <w:rsid w:val="1CEFF1BD"/>
    <w:rsid w:val="34B8A9D4"/>
    <w:rsid w:val="48E45AC9"/>
    <w:rsid w:val="4EBEF9C7"/>
    <w:rsid w:val="50F6EDAA"/>
    <w:rsid w:val="62AAF028"/>
    <w:rsid w:val="6BED8D6C"/>
    <w:rsid w:val="6ED72757"/>
    <w:rsid w:val="7193A0B0"/>
    <w:rsid w:val="72FBCB67"/>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42D7AF92"/>
  <w15:docId w15:val="{9C746093-4C60-4C8A-9037-2F28FF74E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378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basedOn w:val="Normal"/>
    <w:next w:val="Normal"/>
    <w:autoRedefine/>
    <w:qFormat/>
    <w:rsid w:val="003B3014"/>
    <w:pPr>
      <w:keepNext/>
      <w:keepLines/>
      <w:numPr>
        <w:numId w:val="7"/>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7B3F32"/>
    <w:pPr>
      <w:numPr>
        <w:ilvl w:val="1"/>
      </w:numPr>
      <w:pBdr>
        <w:top w:val="none" w:sz="0" w:space="0" w:color="auto"/>
      </w:pBdr>
      <w:outlineLvl w:val="1"/>
    </w:pPr>
    <w:rPr>
      <w:sz w:val="32"/>
    </w:rPr>
  </w:style>
  <w:style w:type="paragraph" w:styleId="Heading3">
    <w:name w:val="heading 3"/>
    <w:aliases w:val="Heading 3 3GPP"/>
    <w:basedOn w:val="Heading2"/>
    <w:next w:val="Normal"/>
    <w:qFormat/>
    <w:rsid w:val="00356BB6"/>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7"/>
      </w:numPr>
      <w:outlineLvl w:val="5"/>
    </w:pPr>
  </w:style>
  <w:style w:type="paragraph" w:styleId="Heading7">
    <w:name w:val="heading 7"/>
    <w:basedOn w:val="H6"/>
    <w:next w:val="Normal"/>
    <w:qFormat/>
    <w:rsid w:val="005831DD"/>
    <w:pPr>
      <w:numPr>
        <w:ilvl w:val="6"/>
        <w:numId w:val="7"/>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7B3F32"/>
    <w:rPr>
      <w:rFonts w:ascii="Arial" w:hAnsi="Arial"/>
      <w:sz w:val="32"/>
      <w:lang w:val="en-GB"/>
    </w:rPr>
  </w:style>
  <w:style w:type="paragraph" w:customStyle="1" w:styleId="bullet">
    <w:name w:val="bullet"/>
    <w:basedOn w:val="ListParagraph"/>
    <w:link w:val="bulletChar"/>
    <w:qFormat/>
    <w:rsid w:val="00F75D1C"/>
    <w:pPr>
      <w:widowControl w:val="0"/>
      <w:numPr>
        <w:numId w:val="2"/>
      </w:numPr>
      <w:spacing w:after="60"/>
      <w:ind w:left="720"/>
      <w:jc w:val="both"/>
    </w:pPr>
    <w:rPr>
      <w:rFonts w:eastAsia="Times New Roman"/>
      <w:kern w:val="2"/>
      <w:sz w:val="20"/>
      <w:lang w:val="en-GB" w:eastAsia="en-US"/>
    </w:rPr>
  </w:style>
  <w:style w:type="character" w:customStyle="1" w:styleId="bulletChar">
    <w:name w:val="bullet Char"/>
    <w:link w:val="bullet"/>
    <w:rsid w:val="00F75D1C"/>
    <w:rPr>
      <w:rFonts w:ascii="Times New Roman" w:eastAsia="Times New Roman" w:hAnsi="Times New Roman"/>
      <w:kern w:val="2"/>
      <w:szCs w:val="24"/>
      <w:lang w:val="en-GB"/>
    </w:rPr>
  </w:style>
  <w:style w:type="character" w:customStyle="1" w:styleId="normaltextrun1">
    <w:name w:val="normaltextrun1"/>
    <w:basedOn w:val="DefaultParagraphFont"/>
    <w:rsid w:val="00CA2655"/>
  </w:style>
  <w:style w:type="character" w:customStyle="1" w:styleId="spellingerror">
    <w:name w:val="spellingerror"/>
    <w:basedOn w:val="DefaultParagraphFont"/>
    <w:rsid w:val="00F3429E"/>
  </w:style>
  <w:style w:type="paragraph" w:customStyle="1" w:styleId="paragraph">
    <w:name w:val="paragraph"/>
    <w:basedOn w:val="Normal"/>
    <w:rsid w:val="00B07904"/>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rsid w:val="00B07904"/>
  </w:style>
  <w:style w:type="character" w:customStyle="1" w:styleId="fontstyle01">
    <w:name w:val="fontstyle01"/>
    <w:basedOn w:val="DefaultParagraphFont"/>
    <w:rsid w:val="00BA004E"/>
    <w:rPr>
      <w:rFonts w:ascii="Arial-BoldItalicMT" w:hAnsi="Arial-BoldItalicMT" w:hint="default"/>
      <w:b/>
      <w:bCs/>
      <w:i/>
      <w:iCs/>
      <w:color w:val="000000"/>
      <w:sz w:val="18"/>
      <w:szCs w:val="18"/>
    </w:rPr>
  </w:style>
  <w:style w:type="paragraph" w:customStyle="1" w:styleId="ECCParBulleted">
    <w:name w:val="ECC Par Bulleted"/>
    <w:basedOn w:val="Normal"/>
    <w:rsid w:val="00501A5C"/>
    <w:pPr>
      <w:numPr>
        <w:numId w:val="3"/>
      </w:numPr>
      <w:overflowPunct/>
      <w:autoSpaceDE/>
      <w:autoSpaceDN/>
      <w:adjustRightInd/>
      <w:spacing w:after="120"/>
      <w:jc w:val="both"/>
      <w:textAlignment w:val="auto"/>
    </w:pPr>
    <w:rPr>
      <w:rFonts w:ascii="Arial" w:eastAsia="Times New Roman" w:hAnsi="Arial"/>
      <w:szCs w:val="24"/>
    </w:rPr>
  </w:style>
  <w:style w:type="character" w:customStyle="1" w:styleId="EXChar">
    <w:name w:val="EX Char"/>
    <w:link w:val="EX"/>
    <w:rsid w:val="00B30325"/>
    <w:rPr>
      <w:rFonts w:ascii="Times New Roman" w:hAnsi="Times New Roman"/>
      <w:lang w:val="en-GB"/>
    </w:rPr>
  </w:style>
  <w:style w:type="character" w:customStyle="1" w:styleId="PLChar">
    <w:name w:val="PL Char"/>
    <w:link w:val="PL"/>
    <w:qFormat/>
    <w:rsid w:val="004B77A6"/>
    <w:rPr>
      <w:rFonts w:ascii="Courier New" w:hAnsi="Courier New"/>
      <w:noProof/>
      <w:sz w:val="16"/>
    </w:rPr>
  </w:style>
  <w:style w:type="character" w:customStyle="1" w:styleId="B1Zchn">
    <w:name w:val="B1 Zchn"/>
    <w:qFormat/>
    <w:rsid w:val="005056D1"/>
    <w:rPr>
      <w:lang w:eastAsia="en-US"/>
    </w:rPr>
  </w:style>
  <w:style w:type="character" w:customStyle="1" w:styleId="B2Char">
    <w:name w:val="B2 Char"/>
    <w:link w:val="B2"/>
    <w:qFormat/>
    <w:rsid w:val="005056D1"/>
    <w:rPr>
      <w:rFonts w:ascii="Times New Roman" w:hAnsi="Times New Roman"/>
      <w:lang w:val="en-GB"/>
    </w:rPr>
  </w:style>
  <w:style w:type="paragraph" w:customStyle="1" w:styleId="StatementBody">
    <w:name w:val="Statement Body"/>
    <w:basedOn w:val="Normal"/>
    <w:rsid w:val="00084FCA"/>
    <w:pPr>
      <w:numPr>
        <w:numId w:val="6"/>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TALCar">
    <w:name w:val="TAL Car"/>
    <w:link w:val="TAL"/>
    <w:qFormat/>
    <w:rsid w:val="003B3014"/>
    <w:rPr>
      <w:rFonts w:ascii="Arial" w:hAnsi="Arial"/>
      <w:sz w:val="18"/>
      <w:lang w:val="en-GB"/>
    </w:rPr>
  </w:style>
  <w:style w:type="character" w:styleId="Mention">
    <w:name w:val="Mention"/>
    <w:basedOn w:val="DefaultParagraphFont"/>
    <w:uiPriority w:val="99"/>
    <w:unhideWhenUsed/>
    <w:rsid w:val="00B66E1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8697">
      <w:bodyDiv w:val="1"/>
      <w:marLeft w:val="0"/>
      <w:marRight w:val="0"/>
      <w:marTop w:val="0"/>
      <w:marBottom w:val="0"/>
      <w:divBdr>
        <w:top w:val="none" w:sz="0" w:space="0" w:color="auto"/>
        <w:left w:val="none" w:sz="0" w:space="0" w:color="auto"/>
        <w:bottom w:val="none" w:sz="0" w:space="0" w:color="auto"/>
        <w:right w:val="none" w:sz="0" w:space="0" w:color="auto"/>
      </w:divBdr>
      <w:divsChild>
        <w:div w:id="1438259462">
          <w:marLeft w:val="1800"/>
          <w:marRight w:val="0"/>
          <w:marTop w:val="100"/>
          <w:marBottom w:val="0"/>
          <w:divBdr>
            <w:top w:val="none" w:sz="0" w:space="0" w:color="auto"/>
            <w:left w:val="none" w:sz="0" w:space="0" w:color="auto"/>
            <w:bottom w:val="none" w:sz="0" w:space="0" w:color="auto"/>
            <w:right w:val="none" w:sz="0" w:space="0" w:color="auto"/>
          </w:divBdr>
        </w:div>
        <w:div w:id="1302034767">
          <w:marLeft w:val="1800"/>
          <w:marRight w:val="0"/>
          <w:marTop w:val="10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932985">
      <w:bodyDiv w:val="1"/>
      <w:marLeft w:val="0"/>
      <w:marRight w:val="0"/>
      <w:marTop w:val="0"/>
      <w:marBottom w:val="0"/>
      <w:divBdr>
        <w:top w:val="none" w:sz="0" w:space="0" w:color="auto"/>
        <w:left w:val="none" w:sz="0" w:space="0" w:color="auto"/>
        <w:bottom w:val="none" w:sz="0" w:space="0" w:color="auto"/>
        <w:right w:val="none" w:sz="0" w:space="0" w:color="auto"/>
      </w:divBdr>
      <w:divsChild>
        <w:div w:id="505822671">
          <w:marLeft w:val="547"/>
          <w:marRight w:val="0"/>
          <w:marTop w:val="0"/>
          <w:marBottom w:val="160"/>
          <w:divBdr>
            <w:top w:val="none" w:sz="0" w:space="0" w:color="auto"/>
            <w:left w:val="none" w:sz="0" w:space="0" w:color="auto"/>
            <w:bottom w:val="none" w:sz="0" w:space="0" w:color="auto"/>
            <w:right w:val="none" w:sz="0" w:space="0" w:color="auto"/>
          </w:divBdr>
        </w:div>
        <w:div w:id="913123834">
          <w:marLeft w:val="547"/>
          <w:marRight w:val="0"/>
          <w:marTop w:val="0"/>
          <w:marBottom w:val="160"/>
          <w:divBdr>
            <w:top w:val="none" w:sz="0" w:space="0" w:color="auto"/>
            <w:left w:val="none" w:sz="0" w:space="0" w:color="auto"/>
            <w:bottom w:val="none" w:sz="0" w:space="0" w:color="auto"/>
            <w:right w:val="none" w:sz="0" w:space="0" w:color="auto"/>
          </w:divBdr>
        </w:div>
        <w:div w:id="1305893537">
          <w:marLeft w:val="547"/>
          <w:marRight w:val="0"/>
          <w:marTop w:val="0"/>
          <w:marBottom w:val="160"/>
          <w:divBdr>
            <w:top w:val="none" w:sz="0" w:space="0" w:color="auto"/>
            <w:left w:val="none" w:sz="0" w:space="0" w:color="auto"/>
            <w:bottom w:val="none" w:sz="0" w:space="0" w:color="auto"/>
            <w:right w:val="none" w:sz="0" w:space="0" w:color="auto"/>
          </w:divBdr>
        </w:div>
      </w:divsChild>
    </w:div>
    <w:div w:id="78673181">
      <w:bodyDiv w:val="1"/>
      <w:marLeft w:val="0"/>
      <w:marRight w:val="0"/>
      <w:marTop w:val="0"/>
      <w:marBottom w:val="0"/>
      <w:divBdr>
        <w:top w:val="none" w:sz="0" w:space="0" w:color="auto"/>
        <w:left w:val="none" w:sz="0" w:space="0" w:color="auto"/>
        <w:bottom w:val="none" w:sz="0" w:space="0" w:color="auto"/>
        <w:right w:val="none" w:sz="0" w:space="0" w:color="auto"/>
      </w:divBdr>
    </w:div>
    <w:div w:id="112865939">
      <w:bodyDiv w:val="1"/>
      <w:marLeft w:val="0"/>
      <w:marRight w:val="0"/>
      <w:marTop w:val="0"/>
      <w:marBottom w:val="0"/>
      <w:divBdr>
        <w:top w:val="none" w:sz="0" w:space="0" w:color="auto"/>
        <w:left w:val="none" w:sz="0" w:space="0" w:color="auto"/>
        <w:bottom w:val="none" w:sz="0" w:space="0" w:color="auto"/>
        <w:right w:val="none" w:sz="0" w:space="0" w:color="auto"/>
      </w:divBdr>
      <w:divsChild>
        <w:div w:id="397824649">
          <w:marLeft w:val="547"/>
          <w:marRight w:val="0"/>
          <w:marTop w:val="0"/>
          <w:marBottom w:val="0"/>
          <w:divBdr>
            <w:top w:val="none" w:sz="0" w:space="0" w:color="auto"/>
            <w:left w:val="none" w:sz="0" w:space="0" w:color="auto"/>
            <w:bottom w:val="none" w:sz="0" w:space="0" w:color="auto"/>
            <w:right w:val="none" w:sz="0" w:space="0" w:color="auto"/>
          </w:divBdr>
        </w:div>
        <w:div w:id="610934342">
          <w:marLeft w:val="547"/>
          <w:marRight w:val="0"/>
          <w:marTop w:val="0"/>
          <w:marBottom w:val="0"/>
          <w:divBdr>
            <w:top w:val="none" w:sz="0" w:space="0" w:color="auto"/>
            <w:left w:val="none" w:sz="0" w:space="0" w:color="auto"/>
            <w:bottom w:val="none" w:sz="0" w:space="0" w:color="auto"/>
            <w:right w:val="none" w:sz="0" w:space="0" w:color="auto"/>
          </w:divBdr>
        </w:div>
        <w:div w:id="350955423">
          <w:marLeft w:val="547"/>
          <w:marRight w:val="0"/>
          <w:marTop w:val="0"/>
          <w:marBottom w:val="0"/>
          <w:divBdr>
            <w:top w:val="none" w:sz="0" w:space="0" w:color="auto"/>
            <w:left w:val="none" w:sz="0" w:space="0" w:color="auto"/>
            <w:bottom w:val="none" w:sz="0" w:space="0" w:color="auto"/>
            <w:right w:val="none" w:sz="0" w:space="0" w:color="auto"/>
          </w:divBdr>
        </w:div>
        <w:div w:id="1697266322">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29171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2423697">
      <w:bodyDiv w:val="1"/>
      <w:marLeft w:val="0"/>
      <w:marRight w:val="0"/>
      <w:marTop w:val="0"/>
      <w:marBottom w:val="0"/>
      <w:divBdr>
        <w:top w:val="none" w:sz="0" w:space="0" w:color="auto"/>
        <w:left w:val="none" w:sz="0" w:space="0" w:color="auto"/>
        <w:bottom w:val="none" w:sz="0" w:space="0" w:color="auto"/>
        <w:right w:val="none" w:sz="0" w:space="0" w:color="auto"/>
      </w:divBdr>
      <w:divsChild>
        <w:div w:id="1716464273">
          <w:marLeft w:val="274"/>
          <w:marRight w:val="0"/>
          <w:marTop w:val="0"/>
          <w:marBottom w:val="0"/>
          <w:divBdr>
            <w:top w:val="none" w:sz="0" w:space="0" w:color="auto"/>
            <w:left w:val="none" w:sz="0" w:space="0" w:color="auto"/>
            <w:bottom w:val="none" w:sz="0" w:space="0" w:color="auto"/>
            <w:right w:val="none" w:sz="0" w:space="0" w:color="auto"/>
          </w:divBdr>
        </w:div>
        <w:div w:id="180167794">
          <w:marLeft w:val="274"/>
          <w:marRight w:val="0"/>
          <w:marTop w:val="0"/>
          <w:marBottom w:val="0"/>
          <w:divBdr>
            <w:top w:val="none" w:sz="0" w:space="0" w:color="auto"/>
            <w:left w:val="none" w:sz="0" w:space="0" w:color="auto"/>
            <w:bottom w:val="none" w:sz="0" w:space="0" w:color="auto"/>
            <w:right w:val="none" w:sz="0" w:space="0" w:color="auto"/>
          </w:divBdr>
        </w:div>
        <w:div w:id="1394232888">
          <w:marLeft w:val="994"/>
          <w:marRight w:val="0"/>
          <w:marTop w:val="0"/>
          <w:marBottom w:val="0"/>
          <w:divBdr>
            <w:top w:val="none" w:sz="0" w:space="0" w:color="auto"/>
            <w:left w:val="none" w:sz="0" w:space="0" w:color="auto"/>
            <w:bottom w:val="none" w:sz="0" w:space="0" w:color="auto"/>
            <w:right w:val="none" w:sz="0" w:space="0" w:color="auto"/>
          </w:divBdr>
        </w:div>
        <w:div w:id="1956911760">
          <w:marLeft w:val="994"/>
          <w:marRight w:val="0"/>
          <w:marTop w:val="0"/>
          <w:marBottom w:val="0"/>
          <w:divBdr>
            <w:top w:val="none" w:sz="0" w:space="0" w:color="auto"/>
            <w:left w:val="none" w:sz="0" w:space="0" w:color="auto"/>
            <w:bottom w:val="none" w:sz="0" w:space="0" w:color="auto"/>
            <w:right w:val="none" w:sz="0" w:space="0" w:color="auto"/>
          </w:divBdr>
        </w:div>
        <w:div w:id="1218320651">
          <w:marLeft w:val="274"/>
          <w:marRight w:val="0"/>
          <w:marTop w:val="0"/>
          <w:marBottom w:val="0"/>
          <w:divBdr>
            <w:top w:val="none" w:sz="0" w:space="0" w:color="auto"/>
            <w:left w:val="none" w:sz="0" w:space="0" w:color="auto"/>
            <w:bottom w:val="none" w:sz="0" w:space="0" w:color="auto"/>
            <w:right w:val="none" w:sz="0" w:space="0" w:color="auto"/>
          </w:divBdr>
        </w:div>
        <w:div w:id="590940354">
          <w:marLeft w:val="274"/>
          <w:marRight w:val="0"/>
          <w:marTop w:val="0"/>
          <w:marBottom w:val="0"/>
          <w:divBdr>
            <w:top w:val="none" w:sz="0" w:space="0" w:color="auto"/>
            <w:left w:val="none" w:sz="0" w:space="0" w:color="auto"/>
            <w:bottom w:val="none" w:sz="0" w:space="0" w:color="auto"/>
            <w:right w:val="none" w:sz="0" w:space="0" w:color="auto"/>
          </w:divBdr>
        </w:div>
      </w:divsChild>
    </w:div>
    <w:div w:id="222061275">
      <w:bodyDiv w:val="1"/>
      <w:marLeft w:val="0"/>
      <w:marRight w:val="0"/>
      <w:marTop w:val="0"/>
      <w:marBottom w:val="0"/>
      <w:divBdr>
        <w:top w:val="none" w:sz="0" w:space="0" w:color="auto"/>
        <w:left w:val="none" w:sz="0" w:space="0" w:color="auto"/>
        <w:bottom w:val="none" w:sz="0" w:space="0" w:color="auto"/>
        <w:right w:val="none" w:sz="0" w:space="0" w:color="auto"/>
      </w:divBdr>
    </w:div>
    <w:div w:id="22965744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4364594">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0246926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951629">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046155">
      <w:bodyDiv w:val="1"/>
      <w:marLeft w:val="0"/>
      <w:marRight w:val="0"/>
      <w:marTop w:val="0"/>
      <w:marBottom w:val="0"/>
      <w:divBdr>
        <w:top w:val="none" w:sz="0" w:space="0" w:color="auto"/>
        <w:left w:val="none" w:sz="0" w:space="0" w:color="auto"/>
        <w:bottom w:val="none" w:sz="0" w:space="0" w:color="auto"/>
        <w:right w:val="none" w:sz="0" w:space="0" w:color="auto"/>
      </w:divBdr>
      <w:divsChild>
        <w:div w:id="1201743113">
          <w:marLeft w:val="547"/>
          <w:marRight w:val="0"/>
          <w:marTop w:val="0"/>
          <w:marBottom w:val="0"/>
          <w:divBdr>
            <w:top w:val="none" w:sz="0" w:space="0" w:color="auto"/>
            <w:left w:val="none" w:sz="0" w:space="0" w:color="auto"/>
            <w:bottom w:val="none" w:sz="0" w:space="0" w:color="auto"/>
            <w:right w:val="none" w:sz="0" w:space="0" w:color="auto"/>
          </w:divBdr>
        </w:div>
        <w:div w:id="544374494">
          <w:marLeft w:val="547"/>
          <w:marRight w:val="0"/>
          <w:marTop w:val="0"/>
          <w:marBottom w:val="0"/>
          <w:divBdr>
            <w:top w:val="none" w:sz="0" w:space="0" w:color="auto"/>
            <w:left w:val="none" w:sz="0" w:space="0" w:color="auto"/>
            <w:bottom w:val="none" w:sz="0" w:space="0" w:color="auto"/>
            <w:right w:val="none" w:sz="0" w:space="0" w:color="auto"/>
          </w:divBdr>
        </w:div>
        <w:div w:id="1926763523">
          <w:marLeft w:val="547"/>
          <w:marRight w:val="0"/>
          <w:marTop w:val="0"/>
          <w:marBottom w:val="0"/>
          <w:divBdr>
            <w:top w:val="none" w:sz="0" w:space="0" w:color="auto"/>
            <w:left w:val="none" w:sz="0" w:space="0" w:color="auto"/>
            <w:bottom w:val="none" w:sz="0" w:space="0" w:color="auto"/>
            <w:right w:val="none" w:sz="0" w:space="0" w:color="auto"/>
          </w:divBdr>
        </w:div>
        <w:div w:id="1382092371">
          <w:marLeft w:val="547"/>
          <w:marRight w:val="0"/>
          <w:marTop w:val="0"/>
          <w:marBottom w:val="0"/>
          <w:divBdr>
            <w:top w:val="none" w:sz="0" w:space="0" w:color="auto"/>
            <w:left w:val="none" w:sz="0" w:space="0" w:color="auto"/>
            <w:bottom w:val="none" w:sz="0" w:space="0" w:color="auto"/>
            <w:right w:val="none" w:sz="0" w:space="0" w:color="auto"/>
          </w:divBdr>
        </w:div>
      </w:divsChild>
    </w:div>
    <w:div w:id="574704389">
      <w:bodyDiv w:val="1"/>
      <w:marLeft w:val="0"/>
      <w:marRight w:val="0"/>
      <w:marTop w:val="0"/>
      <w:marBottom w:val="0"/>
      <w:divBdr>
        <w:top w:val="none" w:sz="0" w:space="0" w:color="auto"/>
        <w:left w:val="none" w:sz="0" w:space="0" w:color="auto"/>
        <w:bottom w:val="none" w:sz="0" w:space="0" w:color="auto"/>
        <w:right w:val="none" w:sz="0" w:space="0" w:color="auto"/>
      </w:divBdr>
    </w:div>
    <w:div w:id="586958987">
      <w:bodyDiv w:val="1"/>
      <w:marLeft w:val="0"/>
      <w:marRight w:val="0"/>
      <w:marTop w:val="0"/>
      <w:marBottom w:val="0"/>
      <w:divBdr>
        <w:top w:val="none" w:sz="0" w:space="0" w:color="auto"/>
        <w:left w:val="none" w:sz="0" w:space="0" w:color="auto"/>
        <w:bottom w:val="none" w:sz="0" w:space="0" w:color="auto"/>
        <w:right w:val="none" w:sz="0" w:space="0" w:color="auto"/>
      </w:divBdr>
    </w:div>
    <w:div w:id="592784776">
      <w:bodyDiv w:val="1"/>
      <w:marLeft w:val="0"/>
      <w:marRight w:val="0"/>
      <w:marTop w:val="0"/>
      <w:marBottom w:val="0"/>
      <w:divBdr>
        <w:top w:val="none" w:sz="0" w:space="0" w:color="auto"/>
        <w:left w:val="none" w:sz="0" w:space="0" w:color="auto"/>
        <w:bottom w:val="none" w:sz="0" w:space="0" w:color="auto"/>
        <w:right w:val="none" w:sz="0" w:space="0" w:color="auto"/>
      </w:divBdr>
      <w:divsChild>
        <w:div w:id="1365711554">
          <w:marLeft w:val="547"/>
          <w:marRight w:val="0"/>
          <w:marTop w:val="0"/>
          <w:marBottom w:val="0"/>
          <w:divBdr>
            <w:top w:val="none" w:sz="0" w:space="0" w:color="auto"/>
            <w:left w:val="none" w:sz="0" w:space="0" w:color="auto"/>
            <w:bottom w:val="none" w:sz="0" w:space="0" w:color="auto"/>
            <w:right w:val="none" w:sz="0" w:space="0" w:color="auto"/>
          </w:divBdr>
        </w:div>
        <w:div w:id="1584220192">
          <w:marLeft w:val="547"/>
          <w:marRight w:val="0"/>
          <w:marTop w:val="0"/>
          <w:marBottom w:val="0"/>
          <w:divBdr>
            <w:top w:val="none" w:sz="0" w:space="0" w:color="auto"/>
            <w:left w:val="none" w:sz="0" w:space="0" w:color="auto"/>
            <w:bottom w:val="none" w:sz="0" w:space="0" w:color="auto"/>
            <w:right w:val="none" w:sz="0" w:space="0" w:color="auto"/>
          </w:divBdr>
        </w:div>
        <w:div w:id="2027168950">
          <w:marLeft w:val="547"/>
          <w:marRight w:val="0"/>
          <w:marTop w:val="0"/>
          <w:marBottom w:val="0"/>
          <w:divBdr>
            <w:top w:val="none" w:sz="0" w:space="0" w:color="auto"/>
            <w:left w:val="none" w:sz="0" w:space="0" w:color="auto"/>
            <w:bottom w:val="none" w:sz="0" w:space="0" w:color="auto"/>
            <w:right w:val="none" w:sz="0" w:space="0" w:color="auto"/>
          </w:divBdr>
        </w:div>
        <w:div w:id="505748106">
          <w:marLeft w:val="547"/>
          <w:marRight w:val="0"/>
          <w:marTop w:val="0"/>
          <w:marBottom w:val="0"/>
          <w:divBdr>
            <w:top w:val="none" w:sz="0" w:space="0" w:color="auto"/>
            <w:left w:val="none" w:sz="0" w:space="0" w:color="auto"/>
            <w:bottom w:val="none" w:sz="0" w:space="0" w:color="auto"/>
            <w:right w:val="none" w:sz="0" w:space="0" w:color="auto"/>
          </w:divBdr>
        </w:div>
        <w:div w:id="932277480">
          <w:marLeft w:val="1166"/>
          <w:marRight w:val="0"/>
          <w:marTop w:val="0"/>
          <w:marBottom w:val="0"/>
          <w:divBdr>
            <w:top w:val="none" w:sz="0" w:space="0" w:color="auto"/>
            <w:left w:val="none" w:sz="0" w:space="0" w:color="auto"/>
            <w:bottom w:val="none" w:sz="0" w:space="0" w:color="auto"/>
            <w:right w:val="none" w:sz="0" w:space="0" w:color="auto"/>
          </w:divBdr>
        </w:div>
      </w:divsChild>
    </w:div>
    <w:div w:id="593586529">
      <w:bodyDiv w:val="1"/>
      <w:marLeft w:val="0"/>
      <w:marRight w:val="0"/>
      <w:marTop w:val="0"/>
      <w:marBottom w:val="0"/>
      <w:divBdr>
        <w:top w:val="none" w:sz="0" w:space="0" w:color="auto"/>
        <w:left w:val="none" w:sz="0" w:space="0" w:color="auto"/>
        <w:bottom w:val="none" w:sz="0" w:space="0" w:color="auto"/>
        <w:right w:val="none" w:sz="0" w:space="0" w:color="auto"/>
      </w:divBdr>
    </w:div>
    <w:div w:id="603852093">
      <w:bodyDiv w:val="1"/>
      <w:marLeft w:val="0"/>
      <w:marRight w:val="0"/>
      <w:marTop w:val="0"/>
      <w:marBottom w:val="0"/>
      <w:divBdr>
        <w:top w:val="none" w:sz="0" w:space="0" w:color="auto"/>
        <w:left w:val="none" w:sz="0" w:space="0" w:color="auto"/>
        <w:bottom w:val="none" w:sz="0" w:space="0" w:color="auto"/>
        <w:right w:val="none" w:sz="0" w:space="0" w:color="auto"/>
      </w:divBdr>
      <w:divsChild>
        <w:div w:id="729619038">
          <w:marLeft w:val="547"/>
          <w:marRight w:val="0"/>
          <w:marTop w:val="0"/>
          <w:marBottom w:val="160"/>
          <w:divBdr>
            <w:top w:val="none" w:sz="0" w:space="0" w:color="auto"/>
            <w:left w:val="none" w:sz="0" w:space="0" w:color="auto"/>
            <w:bottom w:val="none" w:sz="0" w:space="0" w:color="auto"/>
            <w:right w:val="none" w:sz="0" w:space="0" w:color="auto"/>
          </w:divBdr>
        </w:div>
        <w:div w:id="62025763">
          <w:marLeft w:val="547"/>
          <w:marRight w:val="0"/>
          <w:marTop w:val="0"/>
          <w:marBottom w:val="16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15815600">
      <w:bodyDiv w:val="1"/>
      <w:marLeft w:val="0"/>
      <w:marRight w:val="0"/>
      <w:marTop w:val="0"/>
      <w:marBottom w:val="0"/>
      <w:divBdr>
        <w:top w:val="none" w:sz="0" w:space="0" w:color="auto"/>
        <w:left w:val="none" w:sz="0" w:space="0" w:color="auto"/>
        <w:bottom w:val="none" w:sz="0" w:space="0" w:color="auto"/>
        <w:right w:val="none" w:sz="0" w:space="0" w:color="auto"/>
      </w:divBdr>
    </w:div>
    <w:div w:id="74488673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4374774">
      <w:bodyDiv w:val="1"/>
      <w:marLeft w:val="0"/>
      <w:marRight w:val="0"/>
      <w:marTop w:val="0"/>
      <w:marBottom w:val="0"/>
      <w:divBdr>
        <w:top w:val="none" w:sz="0" w:space="0" w:color="auto"/>
        <w:left w:val="none" w:sz="0" w:space="0" w:color="auto"/>
        <w:bottom w:val="none" w:sz="0" w:space="0" w:color="auto"/>
        <w:right w:val="none" w:sz="0" w:space="0" w:color="auto"/>
      </w:divBdr>
      <w:divsChild>
        <w:div w:id="327834332">
          <w:marLeft w:val="446"/>
          <w:marRight w:val="0"/>
          <w:marTop w:val="0"/>
          <w:marBottom w:val="0"/>
          <w:divBdr>
            <w:top w:val="none" w:sz="0" w:space="0" w:color="auto"/>
            <w:left w:val="none" w:sz="0" w:space="0" w:color="auto"/>
            <w:bottom w:val="none" w:sz="0" w:space="0" w:color="auto"/>
            <w:right w:val="none" w:sz="0" w:space="0" w:color="auto"/>
          </w:divBdr>
        </w:div>
        <w:div w:id="960260513">
          <w:marLeft w:val="446"/>
          <w:marRight w:val="0"/>
          <w:marTop w:val="0"/>
          <w:marBottom w:val="0"/>
          <w:divBdr>
            <w:top w:val="none" w:sz="0" w:space="0" w:color="auto"/>
            <w:left w:val="none" w:sz="0" w:space="0" w:color="auto"/>
            <w:bottom w:val="none" w:sz="0" w:space="0" w:color="auto"/>
            <w:right w:val="none" w:sz="0" w:space="0" w:color="auto"/>
          </w:divBdr>
        </w:div>
        <w:div w:id="980231168">
          <w:marLeft w:val="1166"/>
          <w:marRight w:val="0"/>
          <w:marTop w:val="0"/>
          <w:marBottom w:val="0"/>
          <w:divBdr>
            <w:top w:val="none" w:sz="0" w:space="0" w:color="auto"/>
            <w:left w:val="none" w:sz="0" w:space="0" w:color="auto"/>
            <w:bottom w:val="none" w:sz="0" w:space="0" w:color="auto"/>
            <w:right w:val="none" w:sz="0" w:space="0" w:color="auto"/>
          </w:divBdr>
        </w:div>
        <w:div w:id="1105613078">
          <w:marLeft w:val="446"/>
          <w:marRight w:val="0"/>
          <w:marTop w:val="0"/>
          <w:marBottom w:val="0"/>
          <w:divBdr>
            <w:top w:val="none" w:sz="0" w:space="0" w:color="auto"/>
            <w:left w:val="none" w:sz="0" w:space="0" w:color="auto"/>
            <w:bottom w:val="none" w:sz="0" w:space="0" w:color="auto"/>
            <w:right w:val="none" w:sz="0" w:space="0" w:color="auto"/>
          </w:divBdr>
        </w:div>
        <w:div w:id="1139569357">
          <w:marLeft w:val="446"/>
          <w:marRight w:val="0"/>
          <w:marTop w:val="0"/>
          <w:marBottom w:val="0"/>
          <w:divBdr>
            <w:top w:val="none" w:sz="0" w:space="0" w:color="auto"/>
            <w:left w:val="none" w:sz="0" w:space="0" w:color="auto"/>
            <w:bottom w:val="none" w:sz="0" w:space="0" w:color="auto"/>
            <w:right w:val="none" w:sz="0" w:space="0" w:color="auto"/>
          </w:divBdr>
        </w:div>
        <w:div w:id="1834837657">
          <w:marLeft w:val="446"/>
          <w:marRight w:val="0"/>
          <w:marTop w:val="0"/>
          <w:marBottom w:val="0"/>
          <w:divBdr>
            <w:top w:val="none" w:sz="0" w:space="0" w:color="auto"/>
            <w:left w:val="none" w:sz="0" w:space="0" w:color="auto"/>
            <w:bottom w:val="none" w:sz="0" w:space="0" w:color="auto"/>
            <w:right w:val="none" w:sz="0" w:space="0" w:color="auto"/>
          </w:divBdr>
        </w:div>
        <w:div w:id="1880584466">
          <w:marLeft w:val="44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6218373">
      <w:bodyDiv w:val="1"/>
      <w:marLeft w:val="0"/>
      <w:marRight w:val="0"/>
      <w:marTop w:val="0"/>
      <w:marBottom w:val="0"/>
      <w:divBdr>
        <w:top w:val="none" w:sz="0" w:space="0" w:color="auto"/>
        <w:left w:val="none" w:sz="0" w:space="0" w:color="auto"/>
        <w:bottom w:val="none" w:sz="0" w:space="0" w:color="auto"/>
        <w:right w:val="none" w:sz="0" w:space="0" w:color="auto"/>
      </w:divBdr>
      <w:divsChild>
        <w:div w:id="198200193">
          <w:marLeft w:val="547"/>
          <w:marRight w:val="0"/>
          <w:marTop w:val="0"/>
          <w:marBottom w:val="160"/>
          <w:divBdr>
            <w:top w:val="none" w:sz="0" w:space="0" w:color="auto"/>
            <w:left w:val="none" w:sz="0" w:space="0" w:color="auto"/>
            <w:bottom w:val="none" w:sz="0" w:space="0" w:color="auto"/>
            <w:right w:val="none" w:sz="0" w:space="0" w:color="auto"/>
          </w:divBdr>
        </w:div>
        <w:div w:id="301427161">
          <w:marLeft w:val="547"/>
          <w:marRight w:val="0"/>
          <w:marTop w:val="0"/>
          <w:marBottom w:val="160"/>
          <w:divBdr>
            <w:top w:val="none" w:sz="0" w:space="0" w:color="auto"/>
            <w:left w:val="none" w:sz="0" w:space="0" w:color="auto"/>
            <w:bottom w:val="none" w:sz="0" w:space="0" w:color="auto"/>
            <w:right w:val="none" w:sz="0" w:space="0" w:color="auto"/>
          </w:divBdr>
        </w:div>
        <w:div w:id="1218395195">
          <w:marLeft w:val="547"/>
          <w:marRight w:val="0"/>
          <w:marTop w:val="0"/>
          <w:marBottom w:val="160"/>
          <w:divBdr>
            <w:top w:val="none" w:sz="0" w:space="0" w:color="auto"/>
            <w:left w:val="none" w:sz="0" w:space="0" w:color="auto"/>
            <w:bottom w:val="none" w:sz="0" w:space="0" w:color="auto"/>
            <w:right w:val="none" w:sz="0" w:space="0" w:color="auto"/>
          </w:divBdr>
        </w:div>
      </w:divsChild>
    </w:div>
    <w:div w:id="89623570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846824">
      <w:bodyDiv w:val="1"/>
      <w:marLeft w:val="0"/>
      <w:marRight w:val="0"/>
      <w:marTop w:val="0"/>
      <w:marBottom w:val="0"/>
      <w:divBdr>
        <w:top w:val="none" w:sz="0" w:space="0" w:color="auto"/>
        <w:left w:val="none" w:sz="0" w:space="0" w:color="auto"/>
        <w:bottom w:val="none" w:sz="0" w:space="0" w:color="auto"/>
        <w:right w:val="none" w:sz="0" w:space="0" w:color="auto"/>
      </w:divBdr>
    </w:div>
    <w:div w:id="930313771">
      <w:bodyDiv w:val="1"/>
      <w:marLeft w:val="0"/>
      <w:marRight w:val="0"/>
      <w:marTop w:val="0"/>
      <w:marBottom w:val="0"/>
      <w:divBdr>
        <w:top w:val="none" w:sz="0" w:space="0" w:color="auto"/>
        <w:left w:val="none" w:sz="0" w:space="0" w:color="auto"/>
        <w:bottom w:val="none" w:sz="0" w:space="0" w:color="auto"/>
        <w:right w:val="none" w:sz="0" w:space="0" w:color="auto"/>
      </w:divBdr>
      <w:divsChild>
        <w:div w:id="526334620">
          <w:marLeft w:val="547"/>
          <w:marRight w:val="0"/>
          <w:marTop w:val="0"/>
          <w:marBottom w:val="0"/>
          <w:divBdr>
            <w:top w:val="none" w:sz="0" w:space="0" w:color="auto"/>
            <w:left w:val="none" w:sz="0" w:space="0" w:color="auto"/>
            <w:bottom w:val="none" w:sz="0" w:space="0" w:color="auto"/>
            <w:right w:val="none" w:sz="0" w:space="0" w:color="auto"/>
          </w:divBdr>
        </w:div>
        <w:div w:id="693068820">
          <w:marLeft w:val="1166"/>
          <w:marRight w:val="0"/>
          <w:marTop w:val="0"/>
          <w:marBottom w:val="0"/>
          <w:divBdr>
            <w:top w:val="none" w:sz="0" w:space="0" w:color="auto"/>
            <w:left w:val="none" w:sz="0" w:space="0" w:color="auto"/>
            <w:bottom w:val="none" w:sz="0" w:space="0" w:color="auto"/>
            <w:right w:val="none" w:sz="0" w:space="0" w:color="auto"/>
          </w:divBdr>
        </w:div>
        <w:div w:id="1639264734">
          <w:marLeft w:val="547"/>
          <w:marRight w:val="0"/>
          <w:marTop w:val="0"/>
          <w:marBottom w:val="0"/>
          <w:divBdr>
            <w:top w:val="none" w:sz="0" w:space="0" w:color="auto"/>
            <w:left w:val="none" w:sz="0" w:space="0" w:color="auto"/>
            <w:bottom w:val="none" w:sz="0" w:space="0" w:color="auto"/>
            <w:right w:val="none" w:sz="0" w:space="0" w:color="auto"/>
          </w:divBdr>
        </w:div>
        <w:div w:id="1617129207">
          <w:marLeft w:val="1166"/>
          <w:marRight w:val="0"/>
          <w:marTop w:val="0"/>
          <w:marBottom w:val="0"/>
          <w:divBdr>
            <w:top w:val="none" w:sz="0" w:space="0" w:color="auto"/>
            <w:left w:val="none" w:sz="0" w:space="0" w:color="auto"/>
            <w:bottom w:val="none" w:sz="0" w:space="0" w:color="auto"/>
            <w:right w:val="none" w:sz="0" w:space="0" w:color="auto"/>
          </w:divBdr>
        </w:div>
        <w:div w:id="984089970">
          <w:marLeft w:val="547"/>
          <w:marRight w:val="0"/>
          <w:marTop w:val="0"/>
          <w:marBottom w:val="0"/>
          <w:divBdr>
            <w:top w:val="none" w:sz="0" w:space="0" w:color="auto"/>
            <w:left w:val="none" w:sz="0" w:space="0" w:color="auto"/>
            <w:bottom w:val="none" w:sz="0" w:space="0" w:color="auto"/>
            <w:right w:val="none" w:sz="0" w:space="0" w:color="auto"/>
          </w:divBdr>
        </w:div>
        <w:div w:id="1464036335">
          <w:marLeft w:val="1166"/>
          <w:marRight w:val="0"/>
          <w:marTop w:val="0"/>
          <w:marBottom w:val="0"/>
          <w:divBdr>
            <w:top w:val="none" w:sz="0" w:space="0" w:color="auto"/>
            <w:left w:val="none" w:sz="0" w:space="0" w:color="auto"/>
            <w:bottom w:val="none" w:sz="0" w:space="0" w:color="auto"/>
            <w:right w:val="none" w:sz="0" w:space="0" w:color="auto"/>
          </w:divBdr>
        </w:div>
        <w:div w:id="1168398108">
          <w:marLeft w:val="547"/>
          <w:marRight w:val="0"/>
          <w:marTop w:val="0"/>
          <w:marBottom w:val="0"/>
          <w:divBdr>
            <w:top w:val="none" w:sz="0" w:space="0" w:color="auto"/>
            <w:left w:val="none" w:sz="0" w:space="0" w:color="auto"/>
            <w:bottom w:val="none" w:sz="0" w:space="0" w:color="auto"/>
            <w:right w:val="none" w:sz="0" w:space="0" w:color="auto"/>
          </w:divBdr>
        </w:div>
        <w:div w:id="2102600847">
          <w:marLeft w:val="1166"/>
          <w:marRight w:val="0"/>
          <w:marTop w:val="0"/>
          <w:marBottom w:val="0"/>
          <w:divBdr>
            <w:top w:val="none" w:sz="0" w:space="0" w:color="auto"/>
            <w:left w:val="none" w:sz="0" w:space="0" w:color="auto"/>
            <w:bottom w:val="none" w:sz="0" w:space="0" w:color="auto"/>
            <w:right w:val="none" w:sz="0" w:space="0" w:color="auto"/>
          </w:divBdr>
        </w:div>
        <w:div w:id="1910649834">
          <w:marLeft w:val="547"/>
          <w:marRight w:val="0"/>
          <w:marTop w:val="0"/>
          <w:marBottom w:val="0"/>
          <w:divBdr>
            <w:top w:val="none" w:sz="0" w:space="0" w:color="auto"/>
            <w:left w:val="none" w:sz="0" w:space="0" w:color="auto"/>
            <w:bottom w:val="none" w:sz="0" w:space="0" w:color="auto"/>
            <w:right w:val="none" w:sz="0" w:space="0" w:color="auto"/>
          </w:divBdr>
        </w:div>
        <w:div w:id="644428274">
          <w:marLeft w:val="547"/>
          <w:marRight w:val="0"/>
          <w:marTop w:val="0"/>
          <w:marBottom w:val="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377458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0669912">
      <w:bodyDiv w:val="1"/>
      <w:marLeft w:val="0"/>
      <w:marRight w:val="0"/>
      <w:marTop w:val="0"/>
      <w:marBottom w:val="0"/>
      <w:divBdr>
        <w:top w:val="none" w:sz="0" w:space="0" w:color="auto"/>
        <w:left w:val="none" w:sz="0" w:space="0" w:color="auto"/>
        <w:bottom w:val="none" w:sz="0" w:space="0" w:color="auto"/>
        <w:right w:val="none" w:sz="0" w:space="0" w:color="auto"/>
      </w:divBdr>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0740224">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80923243">
      <w:bodyDiv w:val="1"/>
      <w:marLeft w:val="0"/>
      <w:marRight w:val="0"/>
      <w:marTop w:val="0"/>
      <w:marBottom w:val="0"/>
      <w:divBdr>
        <w:top w:val="none" w:sz="0" w:space="0" w:color="auto"/>
        <w:left w:val="none" w:sz="0" w:space="0" w:color="auto"/>
        <w:bottom w:val="none" w:sz="0" w:space="0" w:color="auto"/>
        <w:right w:val="none" w:sz="0" w:space="0" w:color="auto"/>
      </w:divBdr>
    </w:div>
    <w:div w:id="1200631929">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69388983">
      <w:bodyDiv w:val="1"/>
      <w:marLeft w:val="0"/>
      <w:marRight w:val="0"/>
      <w:marTop w:val="0"/>
      <w:marBottom w:val="0"/>
      <w:divBdr>
        <w:top w:val="none" w:sz="0" w:space="0" w:color="auto"/>
        <w:left w:val="none" w:sz="0" w:space="0" w:color="auto"/>
        <w:bottom w:val="none" w:sz="0" w:space="0" w:color="auto"/>
        <w:right w:val="none" w:sz="0" w:space="0" w:color="auto"/>
      </w:divBdr>
      <w:divsChild>
        <w:div w:id="746727526">
          <w:marLeft w:val="1800"/>
          <w:marRight w:val="0"/>
          <w:marTop w:val="100"/>
          <w:marBottom w:val="0"/>
          <w:divBdr>
            <w:top w:val="none" w:sz="0" w:space="0" w:color="auto"/>
            <w:left w:val="none" w:sz="0" w:space="0" w:color="auto"/>
            <w:bottom w:val="none" w:sz="0" w:space="0" w:color="auto"/>
            <w:right w:val="none" w:sz="0" w:space="0" w:color="auto"/>
          </w:divBdr>
        </w:div>
        <w:div w:id="331375064">
          <w:marLeft w:val="1800"/>
          <w:marRight w:val="0"/>
          <w:marTop w:val="100"/>
          <w:marBottom w:val="0"/>
          <w:divBdr>
            <w:top w:val="none" w:sz="0" w:space="0" w:color="auto"/>
            <w:left w:val="none" w:sz="0" w:space="0" w:color="auto"/>
            <w:bottom w:val="none" w:sz="0" w:space="0" w:color="auto"/>
            <w:right w:val="none" w:sz="0" w:space="0" w:color="auto"/>
          </w:divBdr>
        </w:div>
      </w:divsChild>
    </w:div>
    <w:div w:id="128935639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0529214">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9112875">
      <w:bodyDiv w:val="1"/>
      <w:marLeft w:val="0"/>
      <w:marRight w:val="0"/>
      <w:marTop w:val="0"/>
      <w:marBottom w:val="0"/>
      <w:divBdr>
        <w:top w:val="none" w:sz="0" w:space="0" w:color="auto"/>
        <w:left w:val="none" w:sz="0" w:space="0" w:color="auto"/>
        <w:bottom w:val="none" w:sz="0" w:space="0" w:color="auto"/>
        <w:right w:val="none" w:sz="0" w:space="0" w:color="auto"/>
      </w:divBdr>
      <w:divsChild>
        <w:div w:id="1483158188">
          <w:marLeft w:val="446"/>
          <w:marRight w:val="0"/>
          <w:marTop w:val="0"/>
          <w:marBottom w:val="120"/>
          <w:divBdr>
            <w:top w:val="none" w:sz="0" w:space="0" w:color="auto"/>
            <w:left w:val="none" w:sz="0" w:space="0" w:color="auto"/>
            <w:bottom w:val="none" w:sz="0" w:space="0" w:color="auto"/>
            <w:right w:val="none" w:sz="0" w:space="0" w:color="auto"/>
          </w:divBdr>
        </w:div>
        <w:div w:id="915866340">
          <w:marLeft w:val="1166"/>
          <w:marRight w:val="0"/>
          <w:marTop w:val="0"/>
          <w:marBottom w:val="120"/>
          <w:divBdr>
            <w:top w:val="none" w:sz="0" w:space="0" w:color="auto"/>
            <w:left w:val="none" w:sz="0" w:space="0" w:color="auto"/>
            <w:bottom w:val="none" w:sz="0" w:space="0" w:color="auto"/>
            <w:right w:val="none" w:sz="0" w:space="0" w:color="auto"/>
          </w:divBdr>
        </w:div>
        <w:div w:id="1583874884">
          <w:marLeft w:val="1166"/>
          <w:marRight w:val="0"/>
          <w:marTop w:val="0"/>
          <w:marBottom w:val="120"/>
          <w:divBdr>
            <w:top w:val="none" w:sz="0" w:space="0" w:color="auto"/>
            <w:left w:val="none" w:sz="0" w:space="0" w:color="auto"/>
            <w:bottom w:val="none" w:sz="0" w:space="0" w:color="auto"/>
            <w:right w:val="none" w:sz="0" w:space="0" w:color="auto"/>
          </w:divBdr>
        </w:div>
        <w:div w:id="1194464399">
          <w:marLeft w:val="446"/>
          <w:marRight w:val="0"/>
          <w:marTop w:val="0"/>
          <w:marBottom w:val="120"/>
          <w:divBdr>
            <w:top w:val="none" w:sz="0" w:space="0" w:color="auto"/>
            <w:left w:val="none" w:sz="0" w:space="0" w:color="auto"/>
            <w:bottom w:val="none" w:sz="0" w:space="0" w:color="auto"/>
            <w:right w:val="none" w:sz="0" w:space="0" w:color="auto"/>
          </w:divBdr>
        </w:div>
      </w:divsChild>
    </w:div>
    <w:div w:id="1390223375">
      <w:bodyDiv w:val="1"/>
      <w:marLeft w:val="0"/>
      <w:marRight w:val="0"/>
      <w:marTop w:val="0"/>
      <w:marBottom w:val="0"/>
      <w:divBdr>
        <w:top w:val="none" w:sz="0" w:space="0" w:color="auto"/>
        <w:left w:val="none" w:sz="0" w:space="0" w:color="auto"/>
        <w:bottom w:val="none" w:sz="0" w:space="0" w:color="auto"/>
        <w:right w:val="none" w:sz="0" w:space="0" w:color="auto"/>
      </w:divBdr>
      <w:divsChild>
        <w:div w:id="845024116">
          <w:marLeft w:val="547"/>
          <w:marRight w:val="0"/>
          <w:marTop w:val="0"/>
          <w:marBottom w:val="0"/>
          <w:divBdr>
            <w:top w:val="none" w:sz="0" w:space="0" w:color="auto"/>
            <w:left w:val="none" w:sz="0" w:space="0" w:color="auto"/>
            <w:bottom w:val="none" w:sz="0" w:space="0" w:color="auto"/>
            <w:right w:val="none" w:sz="0" w:space="0" w:color="auto"/>
          </w:divBdr>
        </w:div>
        <w:div w:id="1076322023">
          <w:marLeft w:val="547"/>
          <w:marRight w:val="0"/>
          <w:marTop w:val="0"/>
          <w:marBottom w:val="0"/>
          <w:divBdr>
            <w:top w:val="none" w:sz="0" w:space="0" w:color="auto"/>
            <w:left w:val="none" w:sz="0" w:space="0" w:color="auto"/>
            <w:bottom w:val="none" w:sz="0" w:space="0" w:color="auto"/>
            <w:right w:val="none" w:sz="0" w:space="0" w:color="auto"/>
          </w:divBdr>
        </w:div>
        <w:div w:id="1213691300">
          <w:marLeft w:val="547"/>
          <w:marRight w:val="0"/>
          <w:marTop w:val="0"/>
          <w:marBottom w:val="0"/>
          <w:divBdr>
            <w:top w:val="none" w:sz="0" w:space="0" w:color="auto"/>
            <w:left w:val="none" w:sz="0" w:space="0" w:color="auto"/>
            <w:bottom w:val="none" w:sz="0" w:space="0" w:color="auto"/>
            <w:right w:val="none" w:sz="0" w:space="0" w:color="auto"/>
          </w:divBdr>
        </w:div>
        <w:div w:id="1664049201">
          <w:marLeft w:val="547"/>
          <w:marRight w:val="0"/>
          <w:marTop w:val="0"/>
          <w:marBottom w:val="0"/>
          <w:divBdr>
            <w:top w:val="none" w:sz="0" w:space="0" w:color="auto"/>
            <w:left w:val="none" w:sz="0" w:space="0" w:color="auto"/>
            <w:bottom w:val="none" w:sz="0" w:space="0" w:color="auto"/>
            <w:right w:val="none" w:sz="0" w:space="0" w:color="auto"/>
          </w:divBdr>
        </w:div>
        <w:div w:id="1698382795">
          <w:marLeft w:val="547"/>
          <w:marRight w:val="0"/>
          <w:marTop w:val="0"/>
          <w:marBottom w:val="0"/>
          <w:divBdr>
            <w:top w:val="none" w:sz="0" w:space="0" w:color="auto"/>
            <w:left w:val="none" w:sz="0" w:space="0" w:color="auto"/>
            <w:bottom w:val="none" w:sz="0" w:space="0" w:color="auto"/>
            <w:right w:val="none" w:sz="0" w:space="0" w:color="auto"/>
          </w:divBdr>
        </w:div>
        <w:div w:id="1892571525">
          <w:marLeft w:val="547"/>
          <w:marRight w:val="0"/>
          <w:marTop w:val="0"/>
          <w:marBottom w:val="0"/>
          <w:divBdr>
            <w:top w:val="none" w:sz="0" w:space="0" w:color="auto"/>
            <w:left w:val="none" w:sz="0" w:space="0" w:color="auto"/>
            <w:bottom w:val="none" w:sz="0" w:space="0" w:color="auto"/>
            <w:right w:val="none" w:sz="0" w:space="0" w:color="auto"/>
          </w:divBdr>
        </w:div>
      </w:divsChild>
    </w:div>
    <w:div w:id="1401828915">
      <w:bodyDiv w:val="1"/>
      <w:marLeft w:val="0"/>
      <w:marRight w:val="0"/>
      <w:marTop w:val="0"/>
      <w:marBottom w:val="0"/>
      <w:divBdr>
        <w:top w:val="none" w:sz="0" w:space="0" w:color="auto"/>
        <w:left w:val="none" w:sz="0" w:space="0" w:color="auto"/>
        <w:bottom w:val="none" w:sz="0" w:space="0" w:color="auto"/>
        <w:right w:val="none" w:sz="0" w:space="0" w:color="auto"/>
      </w:divBdr>
      <w:divsChild>
        <w:div w:id="163741462">
          <w:marLeft w:val="547"/>
          <w:marRight w:val="0"/>
          <w:marTop w:val="120"/>
          <w:marBottom w:val="120"/>
          <w:divBdr>
            <w:top w:val="none" w:sz="0" w:space="0" w:color="auto"/>
            <w:left w:val="none" w:sz="0" w:space="0" w:color="auto"/>
            <w:bottom w:val="none" w:sz="0" w:space="0" w:color="auto"/>
            <w:right w:val="none" w:sz="0" w:space="0" w:color="auto"/>
          </w:divBdr>
        </w:div>
        <w:div w:id="393041630">
          <w:marLeft w:val="1166"/>
          <w:marRight w:val="0"/>
          <w:marTop w:val="120"/>
          <w:marBottom w:val="120"/>
          <w:divBdr>
            <w:top w:val="none" w:sz="0" w:space="0" w:color="auto"/>
            <w:left w:val="none" w:sz="0" w:space="0" w:color="auto"/>
            <w:bottom w:val="none" w:sz="0" w:space="0" w:color="auto"/>
            <w:right w:val="none" w:sz="0" w:space="0" w:color="auto"/>
          </w:divBdr>
        </w:div>
        <w:div w:id="500856021">
          <w:marLeft w:val="1166"/>
          <w:marRight w:val="0"/>
          <w:marTop w:val="120"/>
          <w:marBottom w:val="120"/>
          <w:divBdr>
            <w:top w:val="none" w:sz="0" w:space="0" w:color="auto"/>
            <w:left w:val="none" w:sz="0" w:space="0" w:color="auto"/>
            <w:bottom w:val="none" w:sz="0" w:space="0" w:color="auto"/>
            <w:right w:val="none" w:sz="0" w:space="0" w:color="auto"/>
          </w:divBdr>
        </w:div>
        <w:div w:id="567955103">
          <w:marLeft w:val="1166"/>
          <w:marRight w:val="0"/>
          <w:marTop w:val="120"/>
          <w:marBottom w:val="120"/>
          <w:divBdr>
            <w:top w:val="none" w:sz="0" w:space="0" w:color="auto"/>
            <w:left w:val="none" w:sz="0" w:space="0" w:color="auto"/>
            <w:bottom w:val="none" w:sz="0" w:space="0" w:color="auto"/>
            <w:right w:val="none" w:sz="0" w:space="0" w:color="auto"/>
          </w:divBdr>
        </w:div>
        <w:div w:id="591203691">
          <w:marLeft w:val="547"/>
          <w:marRight w:val="0"/>
          <w:marTop w:val="120"/>
          <w:marBottom w:val="120"/>
          <w:divBdr>
            <w:top w:val="none" w:sz="0" w:space="0" w:color="auto"/>
            <w:left w:val="none" w:sz="0" w:space="0" w:color="auto"/>
            <w:bottom w:val="none" w:sz="0" w:space="0" w:color="auto"/>
            <w:right w:val="none" w:sz="0" w:space="0" w:color="auto"/>
          </w:divBdr>
        </w:div>
        <w:div w:id="611285029">
          <w:marLeft w:val="1800"/>
          <w:marRight w:val="0"/>
          <w:marTop w:val="120"/>
          <w:marBottom w:val="120"/>
          <w:divBdr>
            <w:top w:val="none" w:sz="0" w:space="0" w:color="auto"/>
            <w:left w:val="none" w:sz="0" w:space="0" w:color="auto"/>
            <w:bottom w:val="none" w:sz="0" w:space="0" w:color="auto"/>
            <w:right w:val="none" w:sz="0" w:space="0" w:color="auto"/>
          </w:divBdr>
        </w:div>
        <w:div w:id="931207406">
          <w:marLeft w:val="1166"/>
          <w:marRight w:val="0"/>
          <w:marTop w:val="120"/>
          <w:marBottom w:val="120"/>
          <w:divBdr>
            <w:top w:val="none" w:sz="0" w:space="0" w:color="auto"/>
            <w:left w:val="none" w:sz="0" w:space="0" w:color="auto"/>
            <w:bottom w:val="none" w:sz="0" w:space="0" w:color="auto"/>
            <w:right w:val="none" w:sz="0" w:space="0" w:color="auto"/>
          </w:divBdr>
        </w:div>
        <w:div w:id="1275750781">
          <w:marLeft w:val="1166"/>
          <w:marRight w:val="0"/>
          <w:marTop w:val="120"/>
          <w:marBottom w:val="120"/>
          <w:divBdr>
            <w:top w:val="none" w:sz="0" w:space="0" w:color="auto"/>
            <w:left w:val="none" w:sz="0" w:space="0" w:color="auto"/>
            <w:bottom w:val="none" w:sz="0" w:space="0" w:color="auto"/>
            <w:right w:val="none" w:sz="0" w:space="0" w:color="auto"/>
          </w:divBdr>
        </w:div>
        <w:div w:id="1394111520">
          <w:marLeft w:val="1800"/>
          <w:marRight w:val="0"/>
          <w:marTop w:val="120"/>
          <w:marBottom w:val="120"/>
          <w:divBdr>
            <w:top w:val="none" w:sz="0" w:space="0" w:color="auto"/>
            <w:left w:val="none" w:sz="0" w:space="0" w:color="auto"/>
            <w:bottom w:val="none" w:sz="0" w:space="0" w:color="auto"/>
            <w:right w:val="none" w:sz="0" w:space="0" w:color="auto"/>
          </w:divBdr>
        </w:div>
        <w:div w:id="1640839271">
          <w:marLeft w:val="1800"/>
          <w:marRight w:val="0"/>
          <w:marTop w:val="120"/>
          <w:marBottom w:val="120"/>
          <w:divBdr>
            <w:top w:val="none" w:sz="0" w:space="0" w:color="auto"/>
            <w:left w:val="none" w:sz="0" w:space="0" w:color="auto"/>
            <w:bottom w:val="none" w:sz="0" w:space="0" w:color="auto"/>
            <w:right w:val="none" w:sz="0" w:space="0" w:color="auto"/>
          </w:divBdr>
        </w:div>
        <w:div w:id="1803424499">
          <w:marLeft w:val="1166"/>
          <w:marRight w:val="0"/>
          <w:marTop w:val="120"/>
          <w:marBottom w:val="120"/>
          <w:divBdr>
            <w:top w:val="none" w:sz="0" w:space="0" w:color="auto"/>
            <w:left w:val="none" w:sz="0" w:space="0" w:color="auto"/>
            <w:bottom w:val="none" w:sz="0" w:space="0" w:color="auto"/>
            <w:right w:val="none" w:sz="0" w:space="0" w:color="auto"/>
          </w:divBdr>
        </w:div>
        <w:div w:id="2045402371">
          <w:marLeft w:val="1800"/>
          <w:marRight w:val="0"/>
          <w:marTop w:val="120"/>
          <w:marBottom w:val="12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593159">
      <w:bodyDiv w:val="1"/>
      <w:marLeft w:val="0"/>
      <w:marRight w:val="0"/>
      <w:marTop w:val="0"/>
      <w:marBottom w:val="0"/>
      <w:divBdr>
        <w:top w:val="none" w:sz="0" w:space="0" w:color="auto"/>
        <w:left w:val="none" w:sz="0" w:space="0" w:color="auto"/>
        <w:bottom w:val="none" w:sz="0" w:space="0" w:color="auto"/>
        <w:right w:val="none" w:sz="0" w:space="0" w:color="auto"/>
      </w:divBdr>
      <w:divsChild>
        <w:div w:id="1662077791">
          <w:marLeft w:val="274"/>
          <w:marRight w:val="0"/>
          <w:marTop w:val="0"/>
          <w:marBottom w:val="120"/>
          <w:divBdr>
            <w:top w:val="none" w:sz="0" w:space="0" w:color="auto"/>
            <w:left w:val="none" w:sz="0" w:space="0" w:color="auto"/>
            <w:bottom w:val="none" w:sz="0" w:space="0" w:color="auto"/>
            <w:right w:val="none" w:sz="0" w:space="0" w:color="auto"/>
          </w:divBdr>
        </w:div>
        <w:div w:id="278798968">
          <w:marLeft w:val="274"/>
          <w:marRight w:val="0"/>
          <w:marTop w:val="0"/>
          <w:marBottom w:val="120"/>
          <w:divBdr>
            <w:top w:val="none" w:sz="0" w:space="0" w:color="auto"/>
            <w:left w:val="none" w:sz="0" w:space="0" w:color="auto"/>
            <w:bottom w:val="none" w:sz="0" w:space="0" w:color="auto"/>
            <w:right w:val="none" w:sz="0" w:space="0" w:color="auto"/>
          </w:divBdr>
        </w:div>
      </w:divsChild>
    </w:div>
    <w:div w:id="1476875423">
      <w:bodyDiv w:val="1"/>
      <w:marLeft w:val="0"/>
      <w:marRight w:val="0"/>
      <w:marTop w:val="0"/>
      <w:marBottom w:val="0"/>
      <w:divBdr>
        <w:top w:val="none" w:sz="0" w:space="0" w:color="auto"/>
        <w:left w:val="none" w:sz="0" w:space="0" w:color="auto"/>
        <w:bottom w:val="none" w:sz="0" w:space="0" w:color="auto"/>
        <w:right w:val="none" w:sz="0" w:space="0" w:color="auto"/>
      </w:divBdr>
      <w:divsChild>
        <w:div w:id="1017926516">
          <w:marLeft w:val="547"/>
          <w:marRight w:val="0"/>
          <w:marTop w:val="0"/>
          <w:marBottom w:val="160"/>
          <w:divBdr>
            <w:top w:val="none" w:sz="0" w:space="0" w:color="auto"/>
            <w:left w:val="none" w:sz="0" w:space="0" w:color="auto"/>
            <w:bottom w:val="none" w:sz="0" w:space="0" w:color="auto"/>
            <w:right w:val="none" w:sz="0" w:space="0" w:color="auto"/>
          </w:divBdr>
        </w:div>
        <w:div w:id="1451314723">
          <w:marLeft w:val="1166"/>
          <w:marRight w:val="0"/>
          <w:marTop w:val="0"/>
          <w:marBottom w:val="160"/>
          <w:divBdr>
            <w:top w:val="none" w:sz="0" w:space="0" w:color="auto"/>
            <w:left w:val="none" w:sz="0" w:space="0" w:color="auto"/>
            <w:bottom w:val="none" w:sz="0" w:space="0" w:color="auto"/>
            <w:right w:val="none" w:sz="0" w:space="0" w:color="auto"/>
          </w:divBdr>
        </w:div>
        <w:div w:id="1255742668">
          <w:marLeft w:val="547"/>
          <w:marRight w:val="0"/>
          <w:marTop w:val="0"/>
          <w:marBottom w:val="160"/>
          <w:divBdr>
            <w:top w:val="none" w:sz="0" w:space="0" w:color="auto"/>
            <w:left w:val="none" w:sz="0" w:space="0" w:color="auto"/>
            <w:bottom w:val="none" w:sz="0" w:space="0" w:color="auto"/>
            <w:right w:val="none" w:sz="0" w:space="0" w:color="auto"/>
          </w:divBdr>
        </w:div>
        <w:div w:id="973949153">
          <w:marLeft w:val="547"/>
          <w:marRight w:val="0"/>
          <w:marTop w:val="0"/>
          <w:marBottom w:val="160"/>
          <w:divBdr>
            <w:top w:val="none" w:sz="0" w:space="0" w:color="auto"/>
            <w:left w:val="none" w:sz="0" w:space="0" w:color="auto"/>
            <w:bottom w:val="none" w:sz="0" w:space="0" w:color="auto"/>
            <w:right w:val="none" w:sz="0" w:space="0" w:color="auto"/>
          </w:divBdr>
        </w:div>
        <w:div w:id="49116771">
          <w:marLeft w:val="547"/>
          <w:marRight w:val="0"/>
          <w:marTop w:val="0"/>
          <w:marBottom w:val="160"/>
          <w:divBdr>
            <w:top w:val="none" w:sz="0" w:space="0" w:color="auto"/>
            <w:left w:val="none" w:sz="0" w:space="0" w:color="auto"/>
            <w:bottom w:val="none" w:sz="0" w:space="0" w:color="auto"/>
            <w:right w:val="none" w:sz="0" w:space="0" w:color="auto"/>
          </w:divBdr>
        </w:div>
      </w:divsChild>
    </w:div>
    <w:div w:id="1491949464">
      <w:bodyDiv w:val="1"/>
      <w:marLeft w:val="0"/>
      <w:marRight w:val="0"/>
      <w:marTop w:val="0"/>
      <w:marBottom w:val="0"/>
      <w:divBdr>
        <w:top w:val="none" w:sz="0" w:space="0" w:color="auto"/>
        <w:left w:val="none" w:sz="0" w:space="0" w:color="auto"/>
        <w:bottom w:val="none" w:sz="0" w:space="0" w:color="auto"/>
        <w:right w:val="none" w:sz="0" w:space="0" w:color="auto"/>
      </w:divBdr>
      <w:divsChild>
        <w:div w:id="211230579">
          <w:marLeft w:val="547"/>
          <w:marRight w:val="0"/>
          <w:marTop w:val="0"/>
          <w:marBottom w:val="0"/>
          <w:divBdr>
            <w:top w:val="none" w:sz="0" w:space="0" w:color="auto"/>
            <w:left w:val="none" w:sz="0" w:space="0" w:color="auto"/>
            <w:bottom w:val="none" w:sz="0" w:space="0" w:color="auto"/>
            <w:right w:val="none" w:sz="0" w:space="0" w:color="auto"/>
          </w:divBdr>
        </w:div>
        <w:div w:id="533888525">
          <w:marLeft w:val="547"/>
          <w:marRight w:val="0"/>
          <w:marTop w:val="0"/>
          <w:marBottom w:val="0"/>
          <w:divBdr>
            <w:top w:val="none" w:sz="0" w:space="0" w:color="auto"/>
            <w:left w:val="none" w:sz="0" w:space="0" w:color="auto"/>
            <w:bottom w:val="none" w:sz="0" w:space="0" w:color="auto"/>
            <w:right w:val="none" w:sz="0" w:space="0" w:color="auto"/>
          </w:divBdr>
        </w:div>
        <w:div w:id="717359344">
          <w:marLeft w:val="547"/>
          <w:marRight w:val="0"/>
          <w:marTop w:val="0"/>
          <w:marBottom w:val="0"/>
          <w:divBdr>
            <w:top w:val="none" w:sz="0" w:space="0" w:color="auto"/>
            <w:left w:val="none" w:sz="0" w:space="0" w:color="auto"/>
            <w:bottom w:val="none" w:sz="0" w:space="0" w:color="auto"/>
            <w:right w:val="none" w:sz="0" w:space="0" w:color="auto"/>
          </w:divBdr>
        </w:div>
        <w:div w:id="773524943">
          <w:marLeft w:val="547"/>
          <w:marRight w:val="0"/>
          <w:marTop w:val="0"/>
          <w:marBottom w:val="0"/>
          <w:divBdr>
            <w:top w:val="none" w:sz="0" w:space="0" w:color="auto"/>
            <w:left w:val="none" w:sz="0" w:space="0" w:color="auto"/>
            <w:bottom w:val="none" w:sz="0" w:space="0" w:color="auto"/>
            <w:right w:val="none" w:sz="0" w:space="0" w:color="auto"/>
          </w:divBdr>
        </w:div>
        <w:div w:id="856967371">
          <w:marLeft w:val="547"/>
          <w:marRight w:val="0"/>
          <w:marTop w:val="0"/>
          <w:marBottom w:val="0"/>
          <w:divBdr>
            <w:top w:val="none" w:sz="0" w:space="0" w:color="auto"/>
            <w:left w:val="none" w:sz="0" w:space="0" w:color="auto"/>
            <w:bottom w:val="none" w:sz="0" w:space="0" w:color="auto"/>
            <w:right w:val="none" w:sz="0" w:space="0" w:color="auto"/>
          </w:divBdr>
        </w:div>
        <w:div w:id="1897815834">
          <w:marLeft w:val="547"/>
          <w:marRight w:val="0"/>
          <w:marTop w:val="0"/>
          <w:marBottom w:val="0"/>
          <w:divBdr>
            <w:top w:val="none" w:sz="0" w:space="0" w:color="auto"/>
            <w:left w:val="none" w:sz="0" w:space="0" w:color="auto"/>
            <w:bottom w:val="none" w:sz="0" w:space="0" w:color="auto"/>
            <w:right w:val="none" w:sz="0" w:space="0" w:color="auto"/>
          </w:divBdr>
        </w:div>
      </w:divsChild>
    </w:div>
    <w:div w:id="149225883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637136">
      <w:bodyDiv w:val="1"/>
      <w:marLeft w:val="0"/>
      <w:marRight w:val="0"/>
      <w:marTop w:val="0"/>
      <w:marBottom w:val="0"/>
      <w:divBdr>
        <w:top w:val="none" w:sz="0" w:space="0" w:color="auto"/>
        <w:left w:val="none" w:sz="0" w:space="0" w:color="auto"/>
        <w:bottom w:val="none" w:sz="0" w:space="0" w:color="auto"/>
        <w:right w:val="none" w:sz="0" w:space="0" w:color="auto"/>
      </w:divBdr>
      <w:divsChild>
        <w:div w:id="561599112">
          <w:marLeft w:val="547"/>
          <w:marRight w:val="0"/>
          <w:marTop w:val="0"/>
          <w:marBottom w:val="160"/>
          <w:divBdr>
            <w:top w:val="none" w:sz="0" w:space="0" w:color="auto"/>
            <w:left w:val="none" w:sz="0" w:space="0" w:color="auto"/>
            <w:bottom w:val="none" w:sz="0" w:space="0" w:color="auto"/>
            <w:right w:val="none" w:sz="0" w:space="0" w:color="auto"/>
          </w:divBdr>
        </w:div>
        <w:div w:id="699748316">
          <w:marLeft w:val="547"/>
          <w:marRight w:val="0"/>
          <w:marTop w:val="0"/>
          <w:marBottom w:val="160"/>
          <w:divBdr>
            <w:top w:val="none" w:sz="0" w:space="0" w:color="auto"/>
            <w:left w:val="none" w:sz="0" w:space="0" w:color="auto"/>
            <w:bottom w:val="none" w:sz="0" w:space="0" w:color="auto"/>
            <w:right w:val="none" w:sz="0" w:space="0" w:color="auto"/>
          </w:divBdr>
        </w:div>
        <w:div w:id="1444761434">
          <w:marLeft w:val="547"/>
          <w:marRight w:val="0"/>
          <w:marTop w:val="0"/>
          <w:marBottom w:val="160"/>
          <w:divBdr>
            <w:top w:val="none" w:sz="0" w:space="0" w:color="auto"/>
            <w:left w:val="none" w:sz="0" w:space="0" w:color="auto"/>
            <w:bottom w:val="none" w:sz="0" w:space="0" w:color="auto"/>
            <w:right w:val="none" w:sz="0" w:space="0" w:color="auto"/>
          </w:divBdr>
        </w:div>
      </w:divsChild>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4909506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708327">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9696898">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90589274">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2790564">
      <w:bodyDiv w:val="1"/>
      <w:marLeft w:val="0"/>
      <w:marRight w:val="0"/>
      <w:marTop w:val="0"/>
      <w:marBottom w:val="0"/>
      <w:divBdr>
        <w:top w:val="none" w:sz="0" w:space="0" w:color="auto"/>
        <w:left w:val="none" w:sz="0" w:space="0" w:color="auto"/>
        <w:bottom w:val="none" w:sz="0" w:space="0" w:color="auto"/>
        <w:right w:val="none" w:sz="0" w:space="0" w:color="auto"/>
      </w:divBdr>
      <w:divsChild>
        <w:div w:id="509176116">
          <w:marLeft w:val="547"/>
          <w:marRight w:val="0"/>
          <w:marTop w:val="0"/>
          <w:marBottom w:val="120"/>
          <w:divBdr>
            <w:top w:val="none" w:sz="0" w:space="0" w:color="auto"/>
            <w:left w:val="none" w:sz="0" w:space="0" w:color="auto"/>
            <w:bottom w:val="none" w:sz="0" w:space="0" w:color="auto"/>
            <w:right w:val="none" w:sz="0" w:space="0" w:color="auto"/>
          </w:divBdr>
        </w:div>
        <w:div w:id="875313809">
          <w:marLeft w:val="547"/>
          <w:marRight w:val="0"/>
          <w:marTop w:val="0"/>
          <w:marBottom w:val="120"/>
          <w:divBdr>
            <w:top w:val="none" w:sz="0" w:space="0" w:color="auto"/>
            <w:left w:val="none" w:sz="0" w:space="0" w:color="auto"/>
            <w:bottom w:val="none" w:sz="0" w:space="0" w:color="auto"/>
            <w:right w:val="none" w:sz="0" w:space="0" w:color="auto"/>
          </w:divBdr>
        </w:div>
        <w:div w:id="1007708596">
          <w:marLeft w:val="1267"/>
          <w:marRight w:val="0"/>
          <w:marTop w:val="0"/>
          <w:marBottom w:val="120"/>
          <w:divBdr>
            <w:top w:val="none" w:sz="0" w:space="0" w:color="auto"/>
            <w:left w:val="none" w:sz="0" w:space="0" w:color="auto"/>
            <w:bottom w:val="none" w:sz="0" w:space="0" w:color="auto"/>
            <w:right w:val="none" w:sz="0" w:space="0" w:color="auto"/>
          </w:divBdr>
        </w:div>
        <w:div w:id="972100731">
          <w:marLeft w:val="1267"/>
          <w:marRight w:val="0"/>
          <w:marTop w:val="0"/>
          <w:marBottom w:val="120"/>
          <w:divBdr>
            <w:top w:val="none" w:sz="0" w:space="0" w:color="auto"/>
            <w:left w:val="none" w:sz="0" w:space="0" w:color="auto"/>
            <w:bottom w:val="none" w:sz="0" w:space="0" w:color="auto"/>
            <w:right w:val="none" w:sz="0" w:space="0" w:color="auto"/>
          </w:divBdr>
        </w:div>
        <w:div w:id="1358196510">
          <w:marLeft w:val="1613"/>
          <w:marRight w:val="0"/>
          <w:marTop w:val="0"/>
          <w:marBottom w:val="120"/>
          <w:divBdr>
            <w:top w:val="none" w:sz="0" w:space="0" w:color="auto"/>
            <w:left w:val="none" w:sz="0" w:space="0" w:color="auto"/>
            <w:bottom w:val="none" w:sz="0" w:space="0" w:color="auto"/>
            <w:right w:val="none" w:sz="0" w:space="0" w:color="auto"/>
          </w:divBdr>
        </w:div>
        <w:div w:id="29258271">
          <w:marLeft w:val="1613"/>
          <w:marRight w:val="0"/>
          <w:marTop w:val="0"/>
          <w:marBottom w:val="120"/>
          <w:divBdr>
            <w:top w:val="none" w:sz="0" w:space="0" w:color="auto"/>
            <w:left w:val="none" w:sz="0" w:space="0" w:color="auto"/>
            <w:bottom w:val="none" w:sz="0" w:space="0" w:color="auto"/>
            <w:right w:val="none" w:sz="0" w:space="0" w:color="auto"/>
          </w:divBdr>
        </w:div>
        <w:div w:id="2002655101">
          <w:marLeft w:val="1613"/>
          <w:marRight w:val="0"/>
          <w:marTop w:val="0"/>
          <w:marBottom w:val="120"/>
          <w:divBdr>
            <w:top w:val="none" w:sz="0" w:space="0" w:color="auto"/>
            <w:left w:val="none" w:sz="0" w:space="0" w:color="auto"/>
            <w:bottom w:val="none" w:sz="0" w:space="0" w:color="auto"/>
            <w:right w:val="none" w:sz="0" w:space="0" w:color="auto"/>
          </w:divBdr>
        </w:div>
        <w:div w:id="861820927">
          <w:marLeft w:val="1613"/>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6543242">
      <w:bodyDiv w:val="1"/>
      <w:marLeft w:val="0"/>
      <w:marRight w:val="0"/>
      <w:marTop w:val="0"/>
      <w:marBottom w:val="0"/>
      <w:divBdr>
        <w:top w:val="none" w:sz="0" w:space="0" w:color="auto"/>
        <w:left w:val="none" w:sz="0" w:space="0" w:color="auto"/>
        <w:bottom w:val="none" w:sz="0" w:space="0" w:color="auto"/>
        <w:right w:val="none" w:sz="0" w:space="0" w:color="auto"/>
      </w:divBdr>
      <w:divsChild>
        <w:div w:id="252977527">
          <w:marLeft w:val="0"/>
          <w:marRight w:val="0"/>
          <w:marTop w:val="0"/>
          <w:marBottom w:val="0"/>
          <w:divBdr>
            <w:top w:val="none" w:sz="0" w:space="0" w:color="auto"/>
            <w:left w:val="none" w:sz="0" w:space="0" w:color="auto"/>
            <w:bottom w:val="none" w:sz="0" w:space="0" w:color="auto"/>
            <w:right w:val="none" w:sz="0" w:space="0" w:color="auto"/>
          </w:divBdr>
          <w:divsChild>
            <w:div w:id="1824079923">
              <w:marLeft w:val="0"/>
              <w:marRight w:val="0"/>
              <w:marTop w:val="0"/>
              <w:marBottom w:val="0"/>
              <w:divBdr>
                <w:top w:val="none" w:sz="0" w:space="0" w:color="auto"/>
                <w:left w:val="none" w:sz="0" w:space="0" w:color="auto"/>
                <w:bottom w:val="none" w:sz="0" w:space="0" w:color="auto"/>
                <w:right w:val="none" w:sz="0" w:space="0" w:color="auto"/>
              </w:divBdr>
              <w:divsChild>
                <w:div w:id="438061691">
                  <w:marLeft w:val="0"/>
                  <w:marRight w:val="0"/>
                  <w:marTop w:val="0"/>
                  <w:marBottom w:val="0"/>
                  <w:divBdr>
                    <w:top w:val="none" w:sz="0" w:space="0" w:color="auto"/>
                    <w:left w:val="none" w:sz="0" w:space="0" w:color="auto"/>
                    <w:bottom w:val="none" w:sz="0" w:space="0" w:color="auto"/>
                    <w:right w:val="none" w:sz="0" w:space="0" w:color="auto"/>
                  </w:divBdr>
                  <w:divsChild>
                    <w:div w:id="828786253">
                      <w:marLeft w:val="0"/>
                      <w:marRight w:val="0"/>
                      <w:marTop w:val="0"/>
                      <w:marBottom w:val="0"/>
                      <w:divBdr>
                        <w:top w:val="none" w:sz="0" w:space="0" w:color="auto"/>
                        <w:left w:val="none" w:sz="0" w:space="0" w:color="auto"/>
                        <w:bottom w:val="none" w:sz="0" w:space="0" w:color="auto"/>
                        <w:right w:val="none" w:sz="0" w:space="0" w:color="auto"/>
                      </w:divBdr>
                      <w:divsChild>
                        <w:div w:id="640766563">
                          <w:marLeft w:val="0"/>
                          <w:marRight w:val="0"/>
                          <w:marTop w:val="0"/>
                          <w:marBottom w:val="0"/>
                          <w:divBdr>
                            <w:top w:val="none" w:sz="0" w:space="0" w:color="auto"/>
                            <w:left w:val="none" w:sz="0" w:space="0" w:color="auto"/>
                            <w:bottom w:val="none" w:sz="0" w:space="0" w:color="auto"/>
                            <w:right w:val="none" w:sz="0" w:space="0" w:color="auto"/>
                          </w:divBdr>
                          <w:divsChild>
                            <w:div w:id="1168248761">
                              <w:marLeft w:val="0"/>
                              <w:marRight w:val="0"/>
                              <w:marTop w:val="0"/>
                              <w:marBottom w:val="0"/>
                              <w:divBdr>
                                <w:top w:val="none" w:sz="0" w:space="0" w:color="auto"/>
                                <w:left w:val="none" w:sz="0" w:space="0" w:color="auto"/>
                                <w:bottom w:val="none" w:sz="0" w:space="0" w:color="auto"/>
                                <w:right w:val="none" w:sz="0" w:space="0" w:color="auto"/>
                              </w:divBdr>
                              <w:divsChild>
                                <w:div w:id="367075072">
                                  <w:marLeft w:val="0"/>
                                  <w:marRight w:val="0"/>
                                  <w:marTop w:val="0"/>
                                  <w:marBottom w:val="0"/>
                                  <w:divBdr>
                                    <w:top w:val="none" w:sz="0" w:space="0" w:color="auto"/>
                                    <w:left w:val="none" w:sz="0" w:space="0" w:color="auto"/>
                                    <w:bottom w:val="none" w:sz="0" w:space="0" w:color="auto"/>
                                    <w:right w:val="none" w:sz="0" w:space="0" w:color="auto"/>
                                  </w:divBdr>
                                  <w:divsChild>
                                    <w:div w:id="1117603699">
                                      <w:marLeft w:val="0"/>
                                      <w:marRight w:val="0"/>
                                      <w:marTop w:val="0"/>
                                      <w:marBottom w:val="0"/>
                                      <w:divBdr>
                                        <w:top w:val="none" w:sz="0" w:space="0" w:color="auto"/>
                                        <w:left w:val="none" w:sz="0" w:space="0" w:color="auto"/>
                                        <w:bottom w:val="none" w:sz="0" w:space="0" w:color="auto"/>
                                        <w:right w:val="none" w:sz="0" w:space="0" w:color="auto"/>
                                      </w:divBdr>
                                      <w:divsChild>
                                        <w:div w:id="1205632621">
                                          <w:marLeft w:val="0"/>
                                          <w:marRight w:val="0"/>
                                          <w:marTop w:val="0"/>
                                          <w:marBottom w:val="0"/>
                                          <w:divBdr>
                                            <w:top w:val="none" w:sz="0" w:space="0" w:color="auto"/>
                                            <w:left w:val="none" w:sz="0" w:space="0" w:color="auto"/>
                                            <w:bottom w:val="none" w:sz="0" w:space="0" w:color="auto"/>
                                            <w:right w:val="none" w:sz="0" w:space="0" w:color="auto"/>
                                          </w:divBdr>
                                          <w:divsChild>
                                            <w:div w:id="1015813780">
                                              <w:marLeft w:val="0"/>
                                              <w:marRight w:val="0"/>
                                              <w:marTop w:val="0"/>
                                              <w:marBottom w:val="0"/>
                                              <w:divBdr>
                                                <w:top w:val="none" w:sz="0" w:space="0" w:color="auto"/>
                                                <w:left w:val="none" w:sz="0" w:space="0" w:color="auto"/>
                                                <w:bottom w:val="none" w:sz="0" w:space="0" w:color="auto"/>
                                                <w:right w:val="none" w:sz="0" w:space="0" w:color="auto"/>
                                              </w:divBdr>
                                              <w:divsChild>
                                                <w:div w:id="813716130">
                                                  <w:marLeft w:val="0"/>
                                                  <w:marRight w:val="0"/>
                                                  <w:marTop w:val="0"/>
                                                  <w:marBottom w:val="0"/>
                                                  <w:divBdr>
                                                    <w:top w:val="none" w:sz="0" w:space="0" w:color="auto"/>
                                                    <w:left w:val="none" w:sz="0" w:space="0" w:color="auto"/>
                                                    <w:bottom w:val="none" w:sz="0" w:space="0" w:color="auto"/>
                                                    <w:right w:val="none" w:sz="0" w:space="0" w:color="auto"/>
                                                  </w:divBdr>
                                                  <w:divsChild>
                                                    <w:div w:id="532692627">
                                                      <w:marLeft w:val="0"/>
                                                      <w:marRight w:val="0"/>
                                                      <w:marTop w:val="0"/>
                                                      <w:marBottom w:val="0"/>
                                                      <w:divBdr>
                                                        <w:top w:val="single" w:sz="6" w:space="0" w:color="ABABAB"/>
                                                        <w:left w:val="single" w:sz="6" w:space="0" w:color="ABABAB"/>
                                                        <w:bottom w:val="none" w:sz="0" w:space="0" w:color="auto"/>
                                                        <w:right w:val="single" w:sz="6" w:space="0" w:color="ABABAB"/>
                                                      </w:divBdr>
                                                      <w:divsChild>
                                                        <w:div w:id="528684881">
                                                          <w:marLeft w:val="0"/>
                                                          <w:marRight w:val="0"/>
                                                          <w:marTop w:val="0"/>
                                                          <w:marBottom w:val="0"/>
                                                          <w:divBdr>
                                                            <w:top w:val="none" w:sz="0" w:space="0" w:color="auto"/>
                                                            <w:left w:val="none" w:sz="0" w:space="0" w:color="auto"/>
                                                            <w:bottom w:val="none" w:sz="0" w:space="0" w:color="auto"/>
                                                            <w:right w:val="none" w:sz="0" w:space="0" w:color="auto"/>
                                                          </w:divBdr>
                                                          <w:divsChild>
                                                            <w:div w:id="790444517">
                                                              <w:marLeft w:val="0"/>
                                                              <w:marRight w:val="0"/>
                                                              <w:marTop w:val="0"/>
                                                              <w:marBottom w:val="0"/>
                                                              <w:divBdr>
                                                                <w:top w:val="none" w:sz="0" w:space="0" w:color="auto"/>
                                                                <w:left w:val="none" w:sz="0" w:space="0" w:color="auto"/>
                                                                <w:bottom w:val="none" w:sz="0" w:space="0" w:color="auto"/>
                                                                <w:right w:val="none" w:sz="0" w:space="0" w:color="auto"/>
                                                              </w:divBdr>
                                                              <w:divsChild>
                                                                <w:div w:id="1154833085">
                                                                  <w:marLeft w:val="0"/>
                                                                  <w:marRight w:val="0"/>
                                                                  <w:marTop w:val="0"/>
                                                                  <w:marBottom w:val="0"/>
                                                                  <w:divBdr>
                                                                    <w:top w:val="none" w:sz="0" w:space="0" w:color="auto"/>
                                                                    <w:left w:val="none" w:sz="0" w:space="0" w:color="auto"/>
                                                                    <w:bottom w:val="none" w:sz="0" w:space="0" w:color="auto"/>
                                                                    <w:right w:val="none" w:sz="0" w:space="0" w:color="auto"/>
                                                                  </w:divBdr>
                                                                  <w:divsChild>
                                                                    <w:div w:id="699669831">
                                                                      <w:marLeft w:val="0"/>
                                                                      <w:marRight w:val="0"/>
                                                                      <w:marTop w:val="0"/>
                                                                      <w:marBottom w:val="0"/>
                                                                      <w:divBdr>
                                                                        <w:top w:val="none" w:sz="0" w:space="0" w:color="auto"/>
                                                                        <w:left w:val="none" w:sz="0" w:space="0" w:color="auto"/>
                                                                        <w:bottom w:val="none" w:sz="0" w:space="0" w:color="auto"/>
                                                                        <w:right w:val="none" w:sz="0" w:space="0" w:color="auto"/>
                                                                      </w:divBdr>
                                                                      <w:divsChild>
                                                                        <w:div w:id="1302996408">
                                                                          <w:marLeft w:val="0"/>
                                                                          <w:marRight w:val="0"/>
                                                                          <w:marTop w:val="0"/>
                                                                          <w:marBottom w:val="0"/>
                                                                          <w:divBdr>
                                                                            <w:top w:val="none" w:sz="0" w:space="0" w:color="auto"/>
                                                                            <w:left w:val="none" w:sz="0" w:space="0" w:color="auto"/>
                                                                            <w:bottom w:val="none" w:sz="0" w:space="0" w:color="auto"/>
                                                                            <w:right w:val="none" w:sz="0" w:space="0" w:color="auto"/>
                                                                          </w:divBdr>
                                                                          <w:divsChild>
                                                                            <w:div w:id="1889340272">
                                                                              <w:marLeft w:val="0"/>
                                                                              <w:marRight w:val="0"/>
                                                                              <w:marTop w:val="0"/>
                                                                              <w:marBottom w:val="0"/>
                                                                              <w:divBdr>
                                                                                <w:top w:val="none" w:sz="0" w:space="0" w:color="auto"/>
                                                                                <w:left w:val="none" w:sz="0" w:space="0" w:color="auto"/>
                                                                                <w:bottom w:val="none" w:sz="0" w:space="0" w:color="auto"/>
                                                                                <w:right w:val="none" w:sz="0" w:space="0" w:color="auto"/>
                                                                              </w:divBdr>
                                                                              <w:divsChild>
                                                                                <w:div w:id="1347174668">
                                                                                  <w:marLeft w:val="0"/>
                                                                                  <w:marRight w:val="0"/>
                                                                                  <w:marTop w:val="0"/>
                                                                                  <w:marBottom w:val="0"/>
                                                                                  <w:divBdr>
                                                                                    <w:top w:val="none" w:sz="0" w:space="0" w:color="auto"/>
                                                                                    <w:left w:val="none" w:sz="0" w:space="0" w:color="auto"/>
                                                                                    <w:bottom w:val="none" w:sz="0" w:space="0" w:color="auto"/>
                                                                                    <w:right w:val="none" w:sz="0" w:space="0" w:color="auto"/>
                                                                                  </w:divBdr>
                                                                                  <w:divsChild>
                                                                                    <w:div w:id="767239053">
                                                                                      <w:marLeft w:val="0"/>
                                                                                      <w:marRight w:val="0"/>
                                                                                      <w:marTop w:val="0"/>
                                                                                      <w:marBottom w:val="0"/>
                                                                                      <w:divBdr>
                                                                                        <w:top w:val="none" w:sz="0" w:space="0" w:color="auto"/>
                                                                                        <w:left w:val="none" w:sz="0" w:space="0" w:color="auto"/>
                                                                                        <w:bottom w:val="none" w:sz="0" w:space="0" w:color="auto"/>
                                                                                        <w:right w:val="none" w:sz="0" w:space="0" w:color="auto"/>
                                                                                      </w:divBdr>
                                                                                    </w:div>
                                                                                    <w:div w:id="906300933">
                                                                                      <w:marLeft w:val="0"/>
                                                                                      <w:marRight w:val="0"/>
                                                                                      <w:marTop w:val="0"/>
                                                                                      <w:marBottom w:val="0"/>
                                                                                      <w:divBdr>
                                                                                        <w:top w:val="none" w:sz="0" w:space="0" w:color="auto"/>
                                                                                        <w:left w:val="none" w:sz="0" w:space="0" w:color="auto"/>
                                                                                        <w:bottom w:val="none" w:sz="0" w:space="0" w:color="auto"/>
                                                                                        <w:right w:val="none" w:sz="0" w:space="0" w:color="auto"/>
                                                                                      </w:divBdr>
                                                                                    </w:div>
                                                                                  </w:divsChild>
                                                                                </w:div>
                                                                                <w:div w:id="1473136658">
                                                                                  <w:marLeft w:val="0"/>
                                                                                  <w:marRight w:val="0"/>
                                                                                  <w:marTop w:val="0"/>
                                                                                  <w:marBottom w:val="0"/>
                                                                                  <w:divBdr>
                                                                                    <w:top w:val="none" w:sz="0" w:space="0" w:color="auto"/>
                                                                                    <w:left w:val="none" w:sz="0" w:space="0" w:color="auto"/>
                                                                                    <w:bottom w:val="none" w:sz="0" w:space="0" w:color="auto"/>
                                                                                    <w:right w:val="none" w:sz="0" w:space="0" w:color="auto"/>
                                                                                  </w:divBdr>
                                                                                  <w:divsChild>
                                                                                    <w:div w:id="297075627">
                                                                                      <w:marLeft w:val="0"/>
                                                                                      <w:marRight w:val="0"/>
                                                                                      <w:marTop w:val="0"/>
                                                                                      <w:marBottom w:val="0"/>
                                                                                      <w:divBdr>
                                                                                        <w:top w:val="none" w:sz="0" w:space="0" w:color="auto"/>
                                                                                        <w:left w:val="none" w:sz="0" w:space="0" w:color="auto"/>
                                                                                        <w:bottom w:val="none" w:sz="0" w:space="0" w:color="auto"/>
                                                                                        <w:right w:val="none" w:sz="0" w:space="0" w:color="auto"/>
                                                                                      </w:divBdr>
                                                                                    </w:div>
                                                                                    <w:div w:id="120398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3928836">
      <w:bodyDiv w:val="1"/>
      <w:marLeft w:val="0"/>
      <w:marRight w:val="0"/>
      <w:marTop w:val="0"/>
      <w:marBottom w:val="0"/>
      <w:divBdr>
        <w:top w:val="none" w:sz="0" w:space="0" w:color="auto"/>
        <w:left w:val="none" w:sz="0" w:space="0" w:color="auto"/>
        <w:bottom w:val="none" w:sz="0" w:space="0" w:color="auto"/>
        <w:right w:val="none" w:sz="0" w:space="0" w:color="auto"/>
      </w:divBdr>
      <w:divsChild>
        <w:div w:id="463811913">
          <w:marLeft w:val="547"/>
          <w:marRight w:val="0"/>
          <w:marTop w:val="0"/>
          <w:marBottom w:val="160"/>
          <w:divBdr>
            <w:top w:val="none" w:sz="0" w:space="0" w:color="auto"/>
            <w:left w:val="none" w:sz="0" w:space="0" w:color="auto"/>
            <w:bottom w:val="none" w:sz="0" w:space="0" w:color="auto"/>
            <w:right w:val="none" w:sz="0" w:space="0" w:color="auto"/>
          </w:divBdr>
        </w:div>
        <w:div w:id="481972506">
          <w:marLeft w:val="547"/>
          <w:marRight w:val="0"/>
          <w:marTop w:val="0"/>
          <w:marBottom w:val="160"/>
          <w:divBdr>
            <w:top w:val="none" w:sz="0" w:space="0" w:color="auto"/>
            <w:left w:val="none" w:sz="0" w:space="0" w:color="auto"/>
            <w:bottom w:val="none" w:sz="0" w:space="0" w:color="auto"/>
            <w:right w:val="none" w:sz="0" w:space="0" w:color="auto"/>
          </w:divBdr>
        </w:div>
        <w:div w:id="1342900778">
          <w:marLeft w:val="547"/>
          <w:marRight w:val="0"/>
          <w:marTop w:val="0"/>
          <w:marBottom w:val="160"/>
          <w:divBdr>
            <w:top w:val="none" w:sz="0" w:space="0" w:color="auto"/>
            <w:left w:val="none" w:sz="0" w:space="0" w:color="auto"/>
            <w:bottom w:val="none" w:sz="0" w:space="0" w:color="auto"/>
            <w:right w:val="none" w:sz="0" w:space="0" w:color="auto"/>
          </w:divBdr>
        </w:div>
      </w:divsChild>
    </w:div>
    <w:div w:id="1989820300">
      <w:bodyDiv w:val="1"/>
      <w:marLeft w:val="0"/>
      <w:marRight w:val="0"/>
      <w:marTop w:val="0"/>
      <w:marBottom w:val="0"/>
      <w:divBdr>
        <w:top w:val="none" w:sz="0" w:space="0" w:color="auto"/>
        <w:left w:val="none" w:sz="0" w:space="0" w:color="auto"/>
        <w:bottom w:val="none" w:sz="0" w:space="0" w:color="auto"/>
        <w:right w:val="none" w:sz="0" w:space="0" w:color="auto"/>
      </w:divBdr>
      <w:divsChild>
        <w:div w:id="836967568">
          <w:marLeft w:val="547"/>
          <w:marRight w:val="0"/>
          <w:marTop w:val="0"/>
          <w:marBottom w:val="160"/>
          <w:divBdr>
            <w:top w:val="none" w:sz="0" w:space="0" w:color="auto"/>
            <w:left w:val="none" w:sz="0" w:space="0" w:color="auto"/>
            <w:bottom w:val="none" w:sz="0" w:space="0" w:color="auto"/>
            <w:right w:val="none" w:sz="0" w:space="0" w:color="auto"/>
          </w:divBdr>
        </w:div>
        <w:div w:id="361589985">
          <w:marLeft w:val="1166"/>
          <w:marRight w:val="0"/>
          <w:marTop w:val="0"/>
          <w:marBottom w:val="160"/>
          <w:divBdr>
            <w:top w:val="none" w:sz="0" w:space="0" w:color="auto"/>
            <w:left w:val="none" w:sz="0" w:space="0" w:color="auto"/>
            <w:bottom w:val="none" w:sz="0" w:space="0" w:color="auto"/>
            <w:right w:val="none" w:sz="0" w:space="0" w:color="auto"/>
          </w:divBdr>
        </w:div>
        <w:div w:id="1270625550">
          <w:marLeft w:val="547"/>
          <w:marRight w:val="0"/>
          <w:marTop w:val="0"/>
          <w:marBottom w:val="160"/>
          <w:divBdr>
            <w:top w:val="none" w:sz="0" w:space="0" w:color="auto"/>
            <w:left w:val="none" w:sz="0" w:space="0" w:color="auto"/>
            <w:bottom w:val="none" w:sz="0" w:space="0" w:color="auto"/>
            <w:right w:val="none" w:sz="0" w:space="0" w:color="auto"/>
          </w:divBdr>
        </w:div>
        <w:div w:id="891624072">
          <w:marLeft w:val="547"/>
          <w:marRight w:val="0"/>
          <w:marTop w:val="0"/>
          <w:marBottom w:val="160"/>
          <w:divBdr>
            <w:top w:val="none" w:sz="0" w:space="0" w:color="auto"/>
            <w:left w:val="none" w:sz="0" w:space="0" w:color="auto"/>
            <w:bottom w:val="none" w:sz="0" w:space="0" w:color="auto"/>
            <w:right w:val="none" w:sz="0" w:space="0" w:color="auto"/>
          </w:divBdr>
        </w:div>
        <w:div w:id="979650098">
          <w:marLeft w:val="547"/>
          <w:marRight w:val="0"/>
          <w:marTop w:val="0"/>
          <w:marBottom w:val="16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2763152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038568">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708610">
      <w:bodyDiv w:val="1"/>
      <w:marLeft w:val="0"/>
      <w:marRight w:val="0"/>
      <w:marTop w:val="0"/>
      <w:marBottom w:val="0"/>
      <w:divBdr>
        <w:top w:val="none" w:sz="0" w:space="0" w:color="auto"/>
        <w:left w:val="none" w:sz="0" w:space="0" w:color="auto"/>
        <w:bottom w:val="none" w:sz="0" w:space="0" w:color="auto"/>
        <w:right w:val="none" w:sz="0" w:space="0" w:color="auto"/>
      </w:divBdr>
      <w:divsChild>
        <w:div w:id="950669079">
          <w:marLeft w:val="547"/>
          <w:marRight w:val="0"/>
          <w:marTop w:val="0"/>
          <w:marBottom w:val="160"/>
          <w:divBdr>
            <w:top w:val="none" w:sz="0" w:space="0" w:color="auto"/>
            <w:left w:val="none" w:sz="0" w:space="0" w:color="auto"/>
            <w:bottom w:val="none" w:sz="0" w:space="0" w:color="auto"/>
            <w:right w:val="none" w:sz="0" w:space="0" w:color="auto"/>
          </w:divBdr>
        </w:div>
        <w:div w:id="1523203997">
          <w:marLeft w:val="547"/>
          <w:marRight w:val="0"/>
          <w:marTop w:val="0"/>
          <w:marBottom w:val="160"/>
          <w:divBdr>
            <w:top w:val="none" w:sz="0" w:space="0" w:color="auto"/>
            <w:left w:val="none" w:sz="0" w:space="0" w:color="auto"/>
            <w:bottom w:val="none" w:sz="0" w:space="0" w:color="auto"/>
            <w:right w:val="none" w:sz="0" w:space="0" w:color="auto"/>
          </w:divBdr>
        </w:div>
      </w:divsChild>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5AIRPNAIUNRU-1830940522-7672</_dlc_DocId>
    <_dlc_DocIdUrl xmlns="71c5aaf6-e6ce-465b-b873-5148d2a4c105">
      <Url>https://nokia.sharepoint.com/sites/c5g/5gradio/_layouts/15/DocIdRedir.aspx?ID=5AIRPNAIUNRU-1830940522-7672</Url>
      <Description>5AIRPNAIUNRU-1830940522-7672</Description>
    </_dlc_DocIdUrl>
    <Information xmlns="3b34c8f0-1ef5-4d1e-bb66-517ce7fe7356" xsi:nil="true"/>
    <Associated_x0020_Task xmlns="3b34c8f0-1ef5-4d1e-bb66-517ce7fe7356"/>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infopath/2007/PartnerControls"/>
    <ds:schemaRef ds:uri="http://purl.org/dc/elements/1.1/"/>
    <ds:schemaRef ds:uri="http://www.w3.org/XML/1998/namespace"/>
    <ds:schemaRef ds:uri="http://schemas.microsoft.com/office/2006/metadata/properties"/>
    <ds:schemaRef ds:uri="71c5aaf6-e6ce-465b-b873-5148d2a4c105"/>
    <ds:schemaRef ds:uri="http://purl.org/dc/terms/"/>
    <ds:schemaRef ds:uri="95d2e41d-1f11-4347-bb1c-11d6a32975dd"/>
    <ds:schemaRef ds:uri="http://schemas.openxmlformats.org/package/2006/metadata/core-properties"/>
    <ds:schemaRef ds:uri="ebabf6ce-2443-438c-9946-ecc878e7654a"/>
    <ds:schemaRef ds:uri="3b34c8f0-1ef5-4d1e-bb66-517ce7fe7356"/>
    <ds:schemaRef ds:uri="http://purl.org/dc/dcmitype/"/>
  </ds:schemaRefs>
</ds:datastoreItem>
</file>

<file path=customXml/itemProps3.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4.xml><?xml version="1.0" encoding="utf-8"?>
<ds:datastoreItem xmlns:ds="http://schemas.openxmlformats.org/officeDocument/2006/customXml" ds:itemID="{139ACD6D-3C53-4919-AEF7-9AE1B906A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6.xml><?xml version="1.0" encoding="utf-8"?>
<ds:datastoreItem xmlns:ds="http://schemas.openxmlformats.org/officeDocument/2006/customXml" ds:itemID="{525B93EF-179E-4F80-A5A8-AF54779EE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1316</TotalTime>
  <Pages>5</Pages>
  <Words>1384</Words>
  <Characters>11216</Characters>
  <Application>Microsoft Office Word</Application>
  <DocSecurity>0</DocSecurity>
  <Lines>93</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Karol Schober</cp:lastModifiedBy>
  <cp:revision>292</cp:revision>
  <cp:lastPrinted>2016-06-20T21:35:00Z</cp:lastPrinted>
  <dcterms:created xsi:type="dcterms:W3CDTF">2019-08-01T18:25:00Z</dcterms:created>
  <dcterms:modified xsi:type="dcterms:W3CDTF">2020-05-15T12:06:00Z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541c1144-9c4a-4a5f-aea0-be25f3a771bf</vt:lpwstr>
  </property>
  <property fmtid="{D5CDD505-2E9C-101B-9397-08002B2CF9AE}" pid="8" name="MSIP_Label_b1aa2129-79ec-42c0-bfac-e5b7a0374572_Enabled">
    <vt:lpwstr>False</vt:lpwstr>
  </property>
  <property fmtid="{D5CDD505-2E9C-101B-9397-08002B2CF9AE}" pid="9" name="MSIP_Label_b1aa2129-79ec-42c0-bfac-e5b7a0374572_SiteId">
    <vt:lpwstr>5d471751-9675-428d-917b-70f44f9630b0</vt:lpwstr>
  </property>
  <property fmtid="{D5CDD505-2E9C-101B-9397-08002B2CF9AE}" pid="10" name="MSIP_Label_b1aa2129-79ec-42c0-bfac-e5b7a0374572_Owner">
    <vt:lpwstr>timo.lunttila@nokia.com</vt:lpwstr>
  </property>
  <property fmtid="{D5CDD505-2E9C-101B-9397-08002B2CF9AE}" pid="11" name="MSIP_Label_b1aa2129-79ec-42c0-bfac-e5b7a0374572_SetDate">
    <vt:lpwstr>2018-04-03T15:48:19.8993400+03:00</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
  </property>
  <property fmtid="{D5CDD505-2E9C-101B-9397-08002B2CF9AE}" pid="16" name="AuthorIds_UIVersion_512">
    <vt:lpwstr>222</vt:lpwstr>
  </property>
  <property fmtid="{D5CDD505-2E9C-101B-9397-08002B2CF9AE}" pid="17" name="AuthorIds_UIVersion_3584">
    <vt:lpwstr>222</vt:lpwstr>
  </property>
</Properties>
</file>